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8" w:rsidRPr="009811ED" w:rsidRDefault="00572A68">
      <w:pPr>
        <w:rPr>
          <w:rFonts w:ascii="Times New Roman" w:hAnsi="Times New Roman" w:cs="Times New Roman"/>
        </w:rPr>
      </w:pPr>
      <w:bookmarkStart w:id="0" w:name="_GoBack"/>
      <w:bookmarkEnd w:id="0"/>
      <w:r w:rsidRPr="009811ED">
        <w:rPr>
          <w:rFonts w:ascii="Times New Roman" w:hAnsi="Times New Roman" w:cs="Times New Roman"/>
        </w:rPr>
        <w:t>UNITED STATES DISTRICT COURT</w:t>
      </w:r>
    </w:p>
    <w:p w:rsidR="00572A68" w:rsidRPr="009811ED" w:rsidRDefault="00572A68">
      <w:pPr>
        <w:widowControl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SOUTHERN DISTRICT OF NEW YORK</w:t>
      </w:r>
    </w:p>
    <w:tbl>
      <w:tblPr>
        <w:tblW w:w="9325" w:type="dxa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484"/>
        <w:gridCol w:w="540"/>
        <w:gridCol w:w="4301"/>
      </w:tblGrid>
      <w:tr w:rsidR="00572A68" w:rsidRPr="009811ED" w:rsidTr="00124465">
        <w:trPr>
          <w:trHeight w:hRule="exact" w:val="256"/>
          <w:jc w:val="center"/>
        </w:trPr>
        <w:tc>
          <w:tcPr>
            <w:tcW w:w="448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6" w:space="0" w:color="FFFFFF"/>
            </w:tcBorders>
          </w:tcPr>
          <w:p w:rsidR="00572A68" w:rsidRPr="009811ED" w:rsidRDefault="00572A68" w:rsidP="00411E37">
            <w:pPr>
              <w:ind w:right="-276"/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 xml:space="preserve">- - - - - - - - - - - - - - - - - - - </w:t>
            </w:r>
            <w:r w:rsidR="00411E37" w:rsidRPr="009811ED">
              <w:rPr>
                <w:rFonts w:ascii="Times New Roman" w:hAnsi="Times New Roman" w:cs="Times New Roman"/>
              </w:rPr>
              <w:t>- - - - - - - - - - - - - -</w:t>
            </w:r>
            <w:r w:rsidR="00516A9E" w:rsidRPr="009811ED">
              <w:rPr>
                <w:rFonts w:ascii="Times New Roman" w:hAnsi="Times New Roman" w:cs="Times New Roman"/>
              </w:rPr>
              <w:t xml:space="preserve"> -</w:t>
            </w:r>
            <w:r w:rsidR="00411E37" w:rsidRPr="009811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6" w:space="0" w:color="FFFFFF"/>
            </w:tcBorders>
          </w:tcPr>
          <w:p w:rsidR="00572A68" w:rsidRPr="009811ED" w:rsidRDefault="00411E37" w:rsidP="00411E37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0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72A68" w:rsidRPr="009811ED" w:rsidRDefault="00572A6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72A68" w:rsidRPr="009811ED" w:rsidTr="00B72E13">
        <w:trPr>
          <w:trHeight w:hRule="exact" w:val="1547"/>
          <w:jc w:val="center"/>
        </w:trPr>
        <w:tc>
          <w:tcPr>
            <w:tcW w:w="4484" w:type="dxa"/>
            <w:tcBorders>
              <w:top w:val="single" w:sz="6" w:space="0" w:color="FFFFFF"/>
              <w:left w:val="single" w:sz="7" w:space="0" w:color="FFFFFF"/>
              <w:bottom w:val="single" w:sz="7" w:space="0" w:color="FFFFFF"/>
              <w:right w:val="single" w:sz="6" w:space="0" w:color="FFFFFF"/>
            </w:tcBorders>
          </w:tcPr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</w:p>
          <w:p w:rsidR="00572A68" w:rsidRPr="009811ED" w:rsidRDefault="0045719C" w:rsidP="00BC112A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 xml:space="preserve">IN RE: </w:t>
            </w:r>
            <w:r w:rsidR="0064727F">
              <w:rPr>
                <w:rFonts w:ascii="Times New Roman" w:hAnsi="Times New Roman" w:cs="Times New Roman"/>
              </w:rPr>
              <w:t xml:space="preserve">FRAMED </w:t>
            </w:r>
            <w:r w:rsidR="00BC112A" w:rsidRPr="009811ED">
              <w:rPr>
                <w:rFonts w:ascii="Times New Roman" w:hAnsi="Times New Roman" w:cs="Times New Roman"/>
              </w:rPr>
              <w:t xml:space="preserve">PAINTING </w:t>
            </w:r>
            <w:r w:rsidR="00B72E13" w:rsidRPr="009811ED">
              <w:rPr>
                <w:rFonts w:ascii="Times New Roman" w:hAnsi="Times New Roman" w:cs="Times New Roman"/>
              </w:rPr>
              <w:t>TITLED “PORTRAIT OF A LADY”</w:t>
            </w:r>
            <w:r w:rsidR="00FF71CA" w:rsidRPr="009811ED">
              <w:rPr>
                <w:rFonts w:ascii="Times New Roman" w:hAnsi="Times New Roman" w:cs="Times New Roman"/>
              </w:rPr>
              <w:t xml:space="preserve"> </w:t>
            </w:r>
            <w:r w:rsidR="00BC112A" w:rsidRPr="009811ED">
              <w:rPr>
                <w:rFonts w:ascii="Times New Roman" w:hAnsi="Times New Roman" w:cs="Times New Roman"/>
              </w:rPr>
              <w:t>DATED “ANNO 1628”</w:t>
            </w:r>
            <w:r w:rsidRPr="009811ED">
              <w:rPr>
                <w:rFonts w:ascii="Times New Roman" w:hAnsi="Times New Roman" w:cs="Times New Roman"/>
              </w:rPr>
              <w:t xml:space="preserve">, BY </w:t>
            </w:r>
            <w:r w:rsidR="00BC112A" w:rsidRPr="009811ED">
              <w:rPr>
                <w:rFonts w:ascii="Times New Roman" w:hAnsi="Times New Roman" w:cs="Times New Roman"/>
              </w:rPr>
              <w:t>MELCHIOR GELDORP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7" w:space="0" w:color="FFFFFF"/>
              <w:bottom w:val="single" w:sz="7" w:space="0" w:color="FFFFFF"/>
              <w:right w:val="single" w:sz="6" w:space="0" w:color="FFFFFF"/>
            </w:tcBorders>
          </w:tcPr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>:</w:t>
            </w:r>
          </w:p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</w:p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>:</w:t>
            </w:r>
          </w:p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</w:p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>:</w:t>
            </w:r>
          </w:p>
          <w:p w:rsidR="00572A68" w:rsidRPr="009811ED" w:rsidRDefault="0057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6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A253AC" w:rsidRPr="009811ED" w:rsidRDefault="00A253AC">
            <w:pPr>
              <w:rPr>
                <w:rFonts w:ascii="Times New Roman" w:hAnsi="Times New Roman" w:cs="Times New Roman"/>
                <w:u w:val="single"/>
              </w:rPr>
            </w:pPr>
          </w:p>
          <w:p w:rsidR="00B72E13" w:rsidRPr="009811ED" w:rsidRDefault="00B72E13">
            <w:pPr>
              <w:rPr>
                <w:rFonts w:ascii="Times New Roman" w:hAnsi="Times New Roman" w:cs="Times New Roman"/>
                <w:u w:val="single"/>
              </w:rPr>
            </w:pPr>
          </w:p>
          <w:p w:rsidR="00350971" w:rsidRPr="009811ED" w:rsidRDefault="0012446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811ED">
              <w:rPr>
                <w:rFonts w:ascii="Times New Roman" w:hAnsi="Times New Roman" w:cs="Times New Roman"/>
                <w:bCs/>
                <w:u w:val="single"/>
              </w:rPr>
              <w:t>STIPULATION AND ORDER</w:t>
            </w:r>
          </w:p>
          <w:p w:rsidR="00C167DD" w:rsidRPr="009811ED" w:rsidRDefault="00C167DD">
            <w:pPr>
              <w:widowControl/>
              <w:rPr>
                <w:rFonts w:ascii="Times New Roman" w:hAnsi="Times New Roman" w:cs="Times New Roman"/>
              </w:rPr>
            </w:pPr>
          </w:p>
          <w:p w:rsidR="00572A68" w:rsidRPr="009811ED" w:rsidRDefault="00572A6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72A68" w:rsidRPr="009811ED" w:rsidTr="00124465">
        <w:trPr>
          <w:jc w:val="center"/>
        </w:trPr>
        <w:tc>
          <w:tcPr>
            <w:tcW w:w="4484" w:type="dxa"/>
            <w:tcBorders>
              <w:top w:val="single" w:sz="6" w:space="0" w:color="FFFFFF"/>
              <w:left w:val="single" w:sz="7" w:space="0" w:color="FFFFFF"/>
              <w:bottom w:val="single" w:sz="7" w:space="0" w:color="FFFFFF"/>
              <w:right w:val="single" w:sz="6" w:space="0" w:color="FFFFFF"/>
            </w:tcBorders>
          </w:tcPr>
          <w:p w:rsidR="00572A68" w:rsidRPr="009811ED" w:rsidRDefault="00572A68" w:rsidP="007035D9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 xml:space="preserve">- - - - - - - - - - - - - - - - - - - </w:t>
            </w:r>
            <w:r w:rsidR="00B72E13" w:rsidRPr="009811ED">
              <w:rPr>
                <w:rFonts w:ascii="Times New Roman" w:hAnsi="Times New Roman" w:cs="Times New Roman"/>
              </w:rPr>
              <w:t xml:space="preserve">- - - - - - - - - - - - 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7" w:space="0" w:color="FFFFFF"/>
              <w:bottom w:val="single" w:sz="7" w:space="0" w:color="FFFFFF"/>
              <w:right w:val="single" w:sz="6" w:space="0" w:color="FFFFFF"/>
            </w:tcBorders>
          </w:tcPr>
          <w:p w:rsidR="00572A68" w:rsidRPr="009811ED" w:rsidRDefault="00411E37">
            <w:pPr>
              <w:rPr>
                <w:rFonts w:ascii="Times New Roman" w:hAnsi="Times New Roman" w:cs="Times New Roman"/>
              </w:rPr>
            </w:pPr>
            <w:r w:rsidRPr="009811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01" w:type="dxa"/>
            <w:tcBorders>
              <w:top w:val="single" w:sz="6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72A68" w:rsidRPr="009811ED" w:rsidRDefault="00572A68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72A68" w:rsidRPr="009811ED" w:rsidRDefault="00572A68">
      <w:pPr>
        <w:widowControl/>
        <w:rPr>
          <w:rFonts w:ascii="Times New Roman" w:hAnsi="Times New Roman" w:cs="Times New Roman"/>
        </w:rPr>
      </w:pPr>
    </w:p>
    <w:p w:rsidR="00B72E13" w:rsidRPr="009811ED" w:rsidRDefault="00572A68">
      <w:pPr>
        <w:widowControl/>
        <w:spacing w:line="480" w:lineRule="auto"/>
        <w:ind w:firstLine="1440"/>
        <w:jc w:val="both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WHEREAS, </w:t>
      </w:r>
      <w:r w:rsidR="00B72E13" w:rsidRPr="009811ED">
        <w:rPr>
          <w:rFonts w:ascii="Times New Roman" w:hAnsi="Times New Roman" w:cs="Times New Roman"/>
        </w:rPr>
        <w:t xml:space="preserve">the </w:t>
      </w:r>
      <w:r w:rsidR="00BC112A" w:rsidRPr="009811ED">
        <w:rPr>
          <w:rFonts w:ascii="Times New Roman" w:hAnsi="Times New Roman" w:cs="Times New Roman"/>
        </w:rPr>
        <w:t>Department of Homeland Security</w:t>
      </w:r>
      <w:r w:rsidR="00A234DC">
        <w:rPr>
          <w:rFonts w:ascii="Times New Roman" w:hAnsi="Times New Roman" w:cs="Times New Roman"/>
        </w:rPr>
        <w:t xml:space="preserve"> (DHS)</w:t>
      </w:r>
      <w:r w:rsidR="00BC112A" w:rsidRPr="009811ED">
        <w:rPr>
          <w:rFonts w:ascii="Times New Roman" w:hAnsi="Times New Roman" w:cs="Times New Roman"/>
        </w:rPr>
        <w:t xml:space="preserve">, </w:t>
      </w:r>
      <w:r w:rsidR="004D7BA4">
        <w:rPr>
          <w:rFonts w:ascii="Times New Roman" w:hAnsi="Times New Roman" w:cs="Times New Roman"/>
        </w:rPr>
        <w:t xml:space="preserve">U.S. </w:t>
      </w:r>
      <w:r w:rsidR="00300BE7">
        <w:rPr>
          <w:rFonts w:ascii="Times New Roman" w:hAnsi="Times New Roman" w:cs="Times New Roman"/>
        </w:rPr>
        <w:t xml:space="preserve">Immigration and Customs </w:t>
      </w:r>
      <w:r w:rsidR="006A1A1F">
        <w:rPr>
          <w:rFonts w:ascii="Times New Roman" w:hAnsi="Times New Roman" w:cs="Times New Roman"/>
        </w:rPr>
        <w:t>Enforcement</w:t>
      </w:r>
      <w:r w:rsidR="00300BE7">
        <w:rPr>
          <w:rFonts w:ascii="Times New Roman" w:hAnsi="Times New Roman" w:cs="Times New Roman"/>
        </w:rPr>
        <w:t xml:space="preserve"> (“</w:t>
      </w:r>
      <w:r w:rsidR="00453060">
        <w:rPr>
          <w:rFonts w:ascii="Times New Roman" w:hAnsi="Times New Roman" w:cs="Times New Roman"/>
        </w:rPr>
        <w:t>ICE</w:t>
      </w:r>
      <w:r w:rsidR="00300BE7">
        <w:rPr>
          <w:rFonts w:ascii="Times New Roman" w:hAnsi="Times New Roman" w:cs="Times New Roman"/>
        </w:rPr>
        <w:t>”)</w:t>
      </w:r>
      <w:r w:rsidR="00453060">
        <w:rPr>
          <w:rFonts w:ascii="Times New Roman" w:hAnsi="Times New Roman" w:cs="Times New Roman"/>
        </w:rPr>
        <w:t xml:space="preserve">, </w:t>
      </w:r>
      <w:r w:rsidR="00BC112A" w:rsidRPr="009811ED">
        <w:rPr>
          <w:rFonts w:ascii="Times New Roman" w:hAnsi="Times New Roman" w:cs="Times New Roman"/>
        </w:rPr>
        <w:t xml:space="preserve">Homeland Security Investigations </w:t>
      </w:r>
      <w:r w:rsidR="00B72E13" w:rsidRPr="009811ED">
        <w:rPr>
          <w:rFonts w:ascii="Times New Roman" w:hAnsi="Times New Roman" w:cs="Times New Roman"/>
        </w:rPr>
        <w:t>(“</w:t>
      </w:r>
      <w:r w:rsidR="00BC112A" w:rsidRPr="009811ED">
        <w:rPr>
          <w:rFonts w:ascii="Times New Roman" w:hAnsi="Times New Roman" w:cs="Times New Roman"/>
        </w:rPr>
        <w:t>HSI</w:t>
      </w:r>
      <w:r w:rsidR="00B72E13" w:rsidRPr="009811ED">
        <w:rPr>
          <w:rFonts w:ascii="Times New Roman" w:hAnsi="Times New Roman" w:cs="Times New Roman"/>
        </w:rPr>
        <w:t>”) and the United States Attorney’s Office</w:t>
      </w:r>
      <w:r w:rsidR="00E44F6A">
        <w:rPr>
          <w:rFonts w:ascii="Times New Roman" w:hAnsi="Times New Roman" w:cs="Times New Roman"/>
        </w:rPr>
        <w:t xml:space="preserve"> for the Southern District of New York</w:t>
      </w:r>
      <w:r w:rsidR="00B72E13" w:rsidRPr="009811ED">
        <w:rPr>
          <w:rFonts w:ascii="Times New Roman" w:hAnsi="Times New Roman" w:cs="Times New Roman"/>
        </w:rPr>
        <w:t xml:space="preserve"> </w:t>
      </w:r>
      <w:r w:rsidR="00B66E15" w:rsidRPr="009811ED">
        <w:rPr>
          <w:rFonts w:ascii="Times New Roman" w:hAnsi="Times New Roman" w:cs="Times New Roman"/>
        </w:rPr>
        <w:t xml:space="preserve">(“USAO”) </w:t>
      </w:r>
      <w:r w:rsidR="00B72E13" w:rsidRPr="009811ED">
        <w:rPr>
          <w:rFonts w:ascii="Times New Roman" w:hAnsi="Times New Roman" w:cs="Times New Roman"/>
        </w:rPr>
        <w:t>have determined the following facts:</w:t>
      </w:r>
    </w:p>
    <w:p w:rsidR="00867E2E" w:rsidRPr="009811ED" w:rsidRDefault="00B72E13" w:rsidP="00867E2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The </w:t>
      </w:r>
      <w:r w:rsidR="00BC112A" w:rsidRPr="009811ED">
        <w:rPr>
          <w:rFonts w:ascii="Times New Roman" w:hAnsi="Times New Roman" w:cs="Times New Roman"/>
        </w:rPr>
        <w:t xml:space="preserve">painting that </w:t>
      </w:r>
      <w:r w:rsidRPr="009811ED">
        <w:rPr>
          <w:rFonts w:ascii="Times New Roman" w:hAnsi="Times New Roman" w:cs="Times New Roman"/>
        </w:rPr>
        <w:t xml:space="preserve">forms the subject of this Stipulation and </w:t>
      </w:r>
      <w:r w:rsidR="00867E2E" w:rsidRPr="009811ED">
        <w:rPr>
          <w:rFonts w:ascii="Times New Roman" w:hAnsi="Times New Roman" w:cs="Times New Roman"/>
        </w:rPr>
        <w:t>O</w:t>
      </w:r>
      <w:r w:rsidRPr="009811ED">
        <w:rPr>
          <w:rFonts w:ascii="Times New Roman" w:hAnsi="Times New Roman" w:cs="Times New Roman"/>
        </w:rPr>
        <w:t xml:space="preserve">rder </w:t>
      </w:r>
      <w:r w:rsidR="00E44F6A" w:rsidRPr="009811ED">
        <w:rPr>
          <w:rFonts w:ascii="Times New Roman" w:hAnsi="Times New Roman" w:cs="Times New Roman"/>
        </w:rPr>
        <w:t>(the “Painting”)</w:t>
      </w:r>
      <w:r w:rsidR="00E44F6A">
        <w:rPr>
          <w:rFonts w:ascii="Times New Roman" w:hAnsi="Times New Roman" w:cs="Times New Roman"/>
        </w:rPr>
        <w:t xml:space="preserve"> </w:t>
      </w:r>
      <w:r w:rsidRPr="009811ED">
        <w:rPr>
          <w:rFonts w:ascii="Times New Roman" w:hAnsi="Times New Roman" w:cs="Times New Roman"/>
        </w:rPr>
        <w:t xml:space="preserve">is a </w:t>
      </w:r>
      <w:r w:rsidR="00E44F6A">
        <w:rPr>
          <w:rFonts w:ascii="Times New Roman" w:hAnsi="Times New Roman" w:cs="Times New Roman"/>
        </w:rPr>
        <w:t>work</w:t>
      </w:r>
      <w:r w:rsidR="00BC112A" w:rsidRPr="009811ED">
        <w:rPr>
          <w:rFonts w:ascii="Times New Roman" w:hAnsi="Times New Roman" w:cs="Times New Roman"/>
        </w:rPr>
        <w:t xml:space="preserve"> by Melchior Geldorp (“Geldorp”)</w:t>
      </w:r>
      <w:r w:rsidR="0057072A" w:rsidRPr="009811ED">
        <w:rPr>
          <w:rFonts w:ascii="Times New Roman" w:hAnsi="Times New Roman" w:cs="Times New Roman"/>
        </w:rPr>
        <w:t xml:space="preserve"> </w:t>
      </w:r>
      <w:r w:rsidR="00867E2E" w:rsidRPr="009811ED">
        <w:rPr>
          <w:rFonts w:ascii="Times New Roman" w:hAnsi="Times New Roman" w:cs="Times New Roman"/>
        </w:rPr>
        <w:t>titled “Portrait of a Lady”</w:t>
      </w:r>
      <w:r w:rsidR="00FF71CA" w:rsidRPr="009811ED">
        <w:rPr>
          <w:rFonts w:ascii="Times New Roman" w:hAnsi="Times New Roman" w:cs="Times New Roman"/>
        </w:rPr>
        <w:t xml:space="preserve"> and dated </w:t>
      </w:r>
      <w:r w:rsidR="00BC112A" w:rsidRPr="009811ED">
        <w:rPr>
          <w:rFonts w:ascii="Times New Roman" w:hAnsi="Times New Roman" w:cs="Times New Roman"/>
        </w:rPr>
        <w:t>“Anno 1628”</w:t>
      </w:r>
      <w:r w:rsidR="00E44F6A">
        <w:rPr>
          <w:rFonts w:ascii="Times New Roman" w:hAnsi="Times New Roman" w:cs="Times New Roman"/>
        </w:rPr>
        <w:t xml:space="preserve"> and inscribed “AETATIS 44 (</w:t>
      </w:r>
      <w:proofErr w:type="spellStart"/>
      <w:r w:rsidR="00E44F6A">
        <w:rPr>
          <w:rFonts w:ascii="Times New Roman" w:hAnsi="Times New Roman" w:cs="Times New Roman"/>
        </w:rPr>
        <w:t>ur</w:t>
      </w:r>
      <w:proofErr w:type="spellEnd"/>
      <w:r w:rsidR="00E44F6A">
        <w:rPr>
          <w:rFonts w:ascii="Times New Roman" w:hAnsi="Times New Roman" w:cs="Times New Roman"/>
        </w:rPr>
        <w:t>).”</w:t>
      </w:r>
      <w:r w:rsidR="00867E2E" w:rsidRPr="009811ED">
        <w:rPr>
          <w:rFonts w:ascii="Times New Roman" w:hAnsi="Times New Roman" w:cs="Times New Roman"/>
        </w:rPr>
        <w:t xml:space="preserve">   </w:t>
      </w:r>
    </w:p>
    <w:p w:rsidR="00B426A6" w:rsidRPr="00E44F6A" w:rsidRDefault="00867E2E" w:rsidP="00E44F6A">
      <w:pPr>
        <w:pStyle w:val="ListParagraph"/>
        <w:widowControl/>
        <w:spacing w:line="48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9811ED">
        <w:rPr>
          <w:rFonts w:ascii="Times New Roman" w:hAnsi="Times New Roman" w:cs="Times New Roman"/>
          <w:b/>
          <w:u w:val="single"/>
        </w:rPr>
        <w:t xml:space="preserve">HISTORY OF THE </w:t>
      </w:r>
      <w:r w:rsidR="00BC112A" w:rsidRPr="009811ED">
        <w:rPr>
          <w:rFonts w:ascii="Times New Roman" w:hAnsi="Times New Roman" w:cs="Times New Roman"/>
          <w:b/>
          <w:u w:val="single"/>
        </w:rPr>
        <w:t>PAINTING</w:t>
      </w:r>
      <w:r w:rsidR="00B426A6" w:rsidRPr="00E44F6A">
        <w:rPr>
          <w:rFonts w:ascii="Times New Roman" w:hAnsi="Times New Roman" w:cs="Times New Roman"/>
        </w:rPr>
        <w:t xml:space="preserve">  </w:t>
      </w:r>
    </w:p>
    <w:p w:rsidR="00F530AE" w:rsidRPr="002337E4" w:rsidRDefault="00B426A6" w:rsidP="002337E4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On or about April 19, 1935, Doctor Jan </w:t>
      </w:r>
      <w:r w:rsidR="008E2162" w:rsidRPr="009811ED">
        <w:rPr>
          <w:rFonts w:ascii="Times New Roman" w:hAnsi="Times New Roman" w:cs="Times New Roman"/>
        </w:rPr>
        <w:t xml:space="preserve">and Olga </w:t>
      </w:r>
      <w:proofErr w:type="spellStart"/>
      <w:r w:rsidRPr="009811ED">
        <w:rPr>
          <w:rFonts w:ascii="Times New Roman" w:hAnsi="Times New Roman" w:cs="Times New Roman"/>
        </w:rPr>
        <w:t>Poplawski</w:t>
      </w:r>
      <w:proofErr w:type="spellEnd"/>
      <w:r w:rsidRPr="009811ED">
        <w:rPr>
          <w:rFonts w:ascii="Times New Roman" w:hAnsi="Times New Roman" w:cs="Times New Roman"/>
        </w:rPr>
        <w:t xml:space="preserve"> (collectively, the “</w:t>
      </w:r>
      <w:proofErr w:type="spellStart"/>
      <w:r w:rsidRPr="009811ED">
        <w:rPr>
          <w:rFonts w:ascii="Times New Roman" w:hAnsi="Times New Roman" w:cs="Times New Roman"/>
        </w:rPr>
        <w:t>Poplawskis</w:t>
      </w:r>
      <w:proofErr w:type="spellEnd"/>
      <w:r w:rsidRPr="009811ED">
        <w:rPr>
          <w:rFonts w:ascii="Times New Roman" w:hAnsi="Times New Roman" w:cs="Times New Roman"/>
        </w:rPr>
        <w:t xml:space="preserve">”), sold </w:t>
      </w:r>
      <w:r w:rsidR="00285D02">
        <w:rPr>
          <w:rFonts w:ascii="Times New Roman" w:hAnsi="Times New Roman" w:cs="Times New Roman"/>
        </w:rPr>
        <w:t xml:space="preserve">ninety-five </w:t>
      </w:r>
      <w:r w:rsidR="005357B7" w:rsidRPr="009811ED">
        <w:rPr>
          <w:rFonts w:ascii="Times New Roman" w:hAnsi="Times New Roman" w:cs="Times New Roman"/>
        </w:rPr>
        <w:t>paintings,</w:t>
      </w:r>
      <w:r w:rsidR="002337E4">
        <w:rPr>
          <w:rFonts w:ascii="Times New Roman" w:hAnsi="Times New Roman" w:cs="Times New Roman"/>
        </w:rPr>
        <w:t xml:space="preserve"> including the Painting, t</w:t>
      </w:r>
      <w:r w:rsidR="002337E4" w:rsidRPr="007B6AB5">
        <w:rPr>
          <w:rFonts w:ascii="Times New Roman" w:hAnsi="Times New Roman" w:cs="Times New Roman"/>
        </w:rPr>
        <w:t>o the</w:t>
      </w:r>
      <w:r w:rsidR="00E44F6A" w:rsidRPr="007B6AB5">
        <w:rPr>
          <w:rFonts w:ascii="Times New Roman" w:hAnsi="Times New Roman" w:cs="Times New Roman"/>
        </w:rPr>
        <w:t xml:space="preserve"> Government of</w:t>
      </w:r>
      <w:r w:rsidR="002337E4" w:rsidRPr="007B6AB5">
        <w:rPr>
          <w:rFonts w:ascii="Times New Roman" w:hAnsi="Times New Roman" w:cs="Times New Roman"/>
        </w:rPr>
        <w:t xml:space="preserve"> the City of</w:t>
      </w:r>
      <w:r w:rsidR="00E44F6A" w:rsidRPr="007B6AB5">
        <w:rPr>
          <w:rFonts w:ascii="Times New Roman" w:hAnsi="Times New Roman" w:cs="Times New Roman"/>
        </w:rPr>
        <w:t xml:space="preserve"> Warsaw, </w:t>
      </w:r>
      <w:r w:rsidR="008211C9" w:rsidRPr="007B6AB5">
        <w:rPr>
          <w:rFonts w:ascii="Times New Roman" w:hAnsi="Times New Roman" w:cs="Times New Roman"/>
        </w:rPr>
        <w:t xml:space="preserve">Poland.  </w:t>
      </w:r>
      <w:r w:rsidR="002337E4" w:rsidRPr="007B6AB5">
        <w:rPr>
          <w:rFonts w:ascii="Times New Roman" w:hAnsi="Times New Roman" w:cs="Times New Roman"/>
        </w:rPr>
        <w:t>The City agreed to display e</w:t>
      </w:r>
      <w:r w:rsidR="00E44F6A" w:rsidRPr="007B6AB5">
        <w:rPr>
          <w:rFonts w:ascii="Times New Roman" w:hAnsi="Times New Roman" w:cs="Times New Roman"/>
        </w:rPr>
        <w:t>ighty-five of the</w:t>
      </w:r>
      <w:r w:rsidR="00E44F6A">
        <w:rPr>
          <w:rFonts w:ascii="Times New Roman" w:hAnsi="Times New Roman" w:cs="Times New Roman"/>
        </w:rPr>
        <w:t xml:space="preserve"> </w:t>
      </w:r>
      <w:r w:rsidR="00F530AE">
        <w:rPr>
          <w:rFonts w:ascii="Times New Roman" w:hAnsi="Times New Roman" w:cs="Times New Roman"/>
        </w:rPr>
        <w:t>paintings</w:t>
      </w:r>
      <w:r w:rsidR="002337E4">
        <w:rPr>
          <w:rFonts w:ascii="Times New Roman" w:hAnsi="Times New Roman" w:cs="Times New Roman"/>
        </w:rPr>
        <w:t>, including the Painting, at</w:t>
      </w:r>
      <w:r w:rsidR="00F530AE">
        <w:rPr>
          <w:rFonts w:ascii="Times New Roman" w:hAnsi="Times New Roman" w:cs="Times New Roman"/>
        </w:rPr>
        <w:t xml:space="preserve"> the Nation</w:t>
      </w:r>
      <w:r w:rsidR="00E44F6A">
        <w:rPr>
          <w:rFonts w:ascii="Times New Roman" w:hAnsi="Times New Roman" w:cs="Times New Roman"/>
        </w:rPr>
        <w:t>al Museum</w:t>
      </w:r>
      <w:r w:rsidR="002337E4">
        <w:rPr>
          <w:rFonts w:ascii="Times New Roman" w:hAnsi="Times New Roman" w:cs="Times New Roman"/>
        </w:rPr>
        <w:t xml:space="preserve"> </w:t>
      </w:r>
      <w:r w:rsidR="00285D02">
        <w:rPr>
          <w:rFonts w:ascii="Times New Roman" w:hAnsi="Times New Roman" w:cs="Times New Roman"/>
        </w:rPr>
        <w:t>in</w:t>
      </w:r>
      <w:r w:rsidR="002337E4">
        <w:rPr>
          <w:rFonts w:ascii="Times New Roman" w:hAnsi="Times New Roman" w:cs="Times New Roman"/>
        </w:rPr>
        <w:t xml:space="preserve"> Warsaw (the “</w:t>
      </w:r>
      <w:r w:rsidR="00285D02">
        <w:rPr>
          <w:rFonts w:ascii="Times New Roman" w:hAnsi="Times New Roman" w:cs="Times New Roman"/>
        </w:rPr>
        <w:t>Museum</w:t>
      </w:r>
      <w:r w:rsidR="002337E4">
        <w:rPr>
          <w:rFonts w:ascii="Times New Roman" w:hAnsi="Times New Roman" w:cs="Times New Roman"/>
        </w:rPr>
        <w:t>”)</w:t>
      </w:r>
      <w:r w:rsidR="00E44F6A">
        <w:rPr>
          <w:rFonts w:ascii="Times New Roman" w:hAnsi="Times New Roman" w:cs="Times New Roman"/>
        </w:rPr>
        <w:t>.</w:t>
      </w:r>
    </w:p>
    <w:p w:rsidR="00C60479" w:rsidRDefault="002337E4" w:rsidP="00867E2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its transfer to t</w:t>
      </w:r>
      <w:r w:rsidR="00C60479">
        <w:rPr>
          <w:rFonts w:ascii="Times New Roman" w:hAnsi="Times New Roman" w:cs="Times New Roman"/>
        </w:rPr>
        <w:t xml:space="preserve">he </w:t>
      </w:r>
      <w:r w:rsidR="00285D02">
        <w:rPr>
          <w:rFonts w:ascii="Times New Roman" w:hAnsi="Times New Roman" w:cs="Times New Roman"/>
        </w:rPr>
        <w:t>Museum</w:t>
      </w:r>
      <w:r>
        <w:rPr>
          <w:rFonts w:ascii="Times New Roman" w:hAnsi="Times New Roman" w:cs="Times New Roman"/>
        </w:rPr>
        <w:t>, the</w:t>
      </w:r>
      <w:r w:rsidR="00C60479">
        <w:rPr>
          <w:rFonts w:ascii="Times New Roman" w:hAnsi="Times New Roman" w:cs="Times New Roman"/>
        </w:rPr>
        <w:t xml:space="preserve"> Painting </w:t>
      </w:r>
      <w:r>
        <w:rPr>
          <w:rFonts w:ascii="Times New Roman" w:hAnsi="Times New Roman" w:cs="Times New Roman"/>
        </w:rPr>
        <w:t xml:space="preserve">received </w:t>
      </w:r>
      <w:r w:rsidR="00285D02">
        <w:rPr>
          <w:rFonts w:ascii="Times New Roman" w:hAnsi="Times New Roman" w:cs="Times New Roman"/>
        </w:rPr>
        <w:t xml:space="preserve">Museum </w:t>
      </w:r>
      <w:r w:rsidR="00C60479">
        <w:rPr>
          <w:rFonts w:ascii="Times New Roman" w:hAnsi="Times New Roman" w:cs="Times New Roman"/>
        </w:rPr>
        <w:t xml:space="preserve">inventory number 35816.  </w:t>
      </w:r>
    </w:p>
    <w:p w:rsidR="00C60479" w:rsidRDefault="0057072A" w:rsidP="00867E2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In </w:t>
      </w:r>
      <w:r w:rsidR="008211C9" w:rsidRPr="009811ED">
        <w:rPr>
          <w:rFonts w:ascii="Times New Roman" w:hAnsi="Times New Roman" w:cs="Times New Roman"/>
        </w:rPr>
        <w:t xml:space="preserve">1936, </w:t>
      </w:r>
      <w:r w:rsidR="00285D02">
        <w:rPr>
          <w:rFonts w:ascii="Times New Roman" w:hAnsi="Times New Roman" w:cs="Times New Roman"/>
        </w:rPr>
        <w:t xml:space="preserve">the </w:t>
      </w:r>
      <w:r w:rsidR="00F530AE">
        <w:rPr>
          <w:rFonts w:ascii="Times New Roman" w:hAnsi="Times New Roman" w:cs="Times New Roman"/>
        </w:rPr>
        <w:t xml:space="preserve">Museum held an exhibition showcasing the </w:t>
      </w:r>
      <w:proofErr w:type="spellStart"/>
      <w:r w:rsidR="008211C9" w:rsidRPr="009811ED">
        <w:rPr>
          <w:rFonts w:ascii="Times New Roman" w:hAnsi="Times New Roman" w:cs="Times New Roman"/>
        </w:rPr>
        <w:t>Poplaw</w:t>
      </w:r>
      <w:r w:rsidR="005D71D1">
        <w:rPr>
          <w:rFonts w:ascii="Times New Roman" w:hAnsi="Times New Roman" w:cs="Times New Roman"/>
        </w:rPr>
        <w:t>s</w:t>
      </w:r>
      <w:r w:rsidR="008211C9" w:rsidRPr="009811ED">
        <w:rPr>
          <w:rFonts w:ascii="Times New Roman" w:hAnsi="Times New Roman" w:cs="Times New Roman"/>
        </w:rPr>
        <w:t>ki</w:t>
      </w:r>
      <w:proofErr w:type="spellEnd"/>
      <w:r w:rsidR="008211C9" w:rsidRPr="009811ED">
        <w:rPr>
          <w:rFonts w:ascii="Times New Roman" w:hAnsi="Times New Roman" w:cs="Times New Roman"/>
        </w:rPr>
        <w:t xml:space="preserve"> Collection, including the Painting</w:t>
      </w:r>
      <w:r w:rsidR="00F530AE">
        <w:rPr>
          <w:rFonts w:ascii="Times New Roman" w:hAnsi="Times New Roman" w:cs="Times New Roman"/>
        </w:rPr>
        <w:t xml:space="preserve">.  As part of the exhibition, a </w:t>
      </w:r>
      <w:r w:rsidR="00E44F6A">
        <w:rPr>
          <w:rFonts w:ascii="Times New Roman" w:hAnsi="Times New Roman" w:cs="Times New Roman"/>
        </w:rPr>
        <w:t>catalog titled</w:t>
      </w:r>
      <w:r w:rsidR="00584B51">
        <w:rPr>
          <w:rFonts w:ascii="Times New Roman" w:hAnsi="Times New Roman" w:cs="Times New Roman"/>
        </w:rPr>
        <w:t xml:space="preserve"> the </w:t>
      </w:r>
      <w:r w:rsidR="00F530AE">
        <w:rPr>
          <w:rFonts w:ascii="Times New Roman" w:hAnsi="Times New Roman" w:cs="Times New Roman"/>
        </w:rPr>
        <w:t xml:space="preserve">Catalogue </w:t>
      </w:r>
      <w:r w:rsidR="009115C6">
        <w:rPr>
          <w:rFonts w:ascii="Times New Roman" w:hAnsi="Times New Roman" w:cs="Times New Roman"/>
        </w:rPr>
        <w:t xml:space="preserve">of </w:t>
      </w:r>
      <w:r w:rsidR="009115C6">
        <w:rPr>
          <w:rFonts w:ascii="Times New Roman" w:hAnsi="Times New Roman" w:cs="Times New Roman"/>
        </w:rPr>
        <w:lastRenderedPageBreak/>
        <w:t xml:space="preserve">the Exhibition of Paintings from the Collection of Dr. Jan </w:t>
      </w:r>
      <w:proofErr w:type="spellStart"/>
      <w:r w:rsidR="009115C6">
        <w:rPr>
          <w:rFonts w:ascii="Times New Roman" w:hAnsi="Times New Roman" w:cs="Times New Roman"/>
        </w:rPr>
        <w:t>Poplawski</w:t>
      </w:r>
      <w:proofErr w:type="spellEnd"/>
      <w:r w:rsidR="0064727F" w:rsidRPr="00273C5A">
        <w:rPr>
          <w:rStyle w:val="FootnoteReference"/>
          <w:rFonts w:ascii="Times New Roman" w:hAnsi="Times New Roman" w:cs="Times New Roman"/>
          <w:vertAlign w:val="superscript"/>
        </w:rPr>
        <w:footnoteReference w:id="1"/>
      </w:r>
      <w:r w:rsidR="009115C6">
        <w:rPr>
          <w:rFonts w:ascii="Times New Roman" w:hAnsi="Times New Roman" w:cs="Times New Roman"/>
        </w:rPr>
        <w:t xml:space="preserve"> (</w:t>
      </w:r>
      <w:r w:rsidR="00C60479">
        <w:rPr>
          <w:rFonts w:ascii="Times New Roman" w:hAnsi="Times New Roman" w:cs="Times New Roman"/>
        </w:rPr>
        <w:t>the “1936 Catalog”)</w:t>
      </w:r>
      <w:r w:rsidR="00584B51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>was published</w:t>
      </w:r>
      <w:r w:rsidR="00C60479">
        <w:rPr>
          <w:rFonts w:ascii="Times New Roman" w:hAnsi="Times New Roman" w:cs="Times New Roman"/>
        </w:rPr>
        <w:t xml:space="preserve">.  The </w:t>
      </w:r>
      <w:r w:rsidR="00584B51">
        <w:rPr>
          <w:rFonts w:ascii="Times New Roman" w:hAnsi="Times New Roman" w:cs="Times New Roman"/>
        </w:rPr>
        <w:t xml:space="preserve">Painting was listed </w:t>
      </w:r>
      <w:r w:rsidR="00C60479">
        <w:rPr>
          <w:rFonts w:ascii="Times New Roman" w:hAnsi="Times New Roman" w:cs="Times New Roman"/>
        </w:rPr>
        <w:t xml:space="preserve">in the 1936 Catalog </w:t>
      </w:r>
      <w:r w:rsidR="00584B51">
        <w:rPr>
          <w:rFonts w:ascii="Times New Roman" w:hAnsi="Times New Roman" w:cs="Times New Roman"/>
        </w:rPr>
        <w:t xml:space="preserve">under </w:t>
      </w:r>
      <w:r w:rsidR="00C60479">
        <w:rPr>
          <w:rFonts w:ascii="Times New Roman" w:hAnsi="Times New Roman" w:cs="Times New Roman"/>
        </w:rPr>
        <w:t>inventory number 35816</w:t>
      </w:r>
      <w:r w:rsidR="002337E4">
        <w:rPr>
          <w:rFonts w:ascii="Times New Roman" w:hAnsi="Times New Roman" w:cs="Times New Roman"/>
        </w:rPr>
        <w:t>.</w:t>
      </w:r>
    </w:p>
    <w:p w:rsidR="00E7067D" w:rsidRPr="009115C6" w:rsidRDefault="00C60479" w:rsidP="009C5D8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115C6">
        <w:rPr>
          <w:rFonts w:ascii="Times New Roman" w:hAnsi="Times New Roman" w:cs="Times New Roman"/>
        </w:rPr>
        <w:t>In</w:t>
      </w:r>
      <w:r w:rsidR="009115C6" w:rsidRPr="009115C6">
        <w:rPr>
          <w:rFonts w:ascii="Times New Roman" w:hAnsi="Times New Roman" w:cs="Times New Roman"/>
        </w:rPr>
        <w:t xml:space="preserve"> 1938</w:t>
      </w:r>
      <w:r w:rsidR="00285D02">
        <w:rPr>
          <w:rFonts w:ascii="Times New Roman" w:hAnsi="Times New Roman" w:cs="Times New Roman"/>
        </w:rPr>
        <w:t>,</w:t>
      </w:r>
      <w:r w:rsidR="009115C6" w:rsidRPr="009115C6">
        <w:rPr>
          <w:rFonts w:ascii="Times New Roman" w:hAnsi="Times New Roman" w:cs="Times New Roman"/>
        </w:rPr>
        <w:t xml:space="preserve"> </w:t>
      </w:r>
      <w:r w:rsidR="00285D02">
        <w:rPr>
          <w:rFonts w:ascii="Times New Roman" w:hAnsi="Times New Roman" w:cs="Times New Roman"/>
        </w:rPr>
        <w:t xml:space="preserve">the </w:t>
      </w:r>
      <w:r w:rsidR="00285D02" w:rsidRPr="009115C6">
        <w:rPr>
          <w:rFonts w:ascii="Times New Roman" w:hAnsi="Times New Roman" w:cs="Times New Roman"/>
        </w:rPr>
        <w:t>Pain</w:t>
      </w:r>
      <w:r w:rsidR="00285D02">
        <w:rPr>
          <w:rFonts w:ascii="Times New Roman" w:hAnsi="Times New Roman" w:cs="Times New Roman"/>
        </w:rPr>
        <w:t>ting was again listed</w:t>
      </w:r>
      <w:r w:rsidR="00285D02" w:rsidRPr="009115C6">
        <w:rPr>
          <w:rFonts w:ascii="Times New Roman" w:hAnsi="Times New Roman" w:cs="Times New Roman"/>
        </w:rPr>
        <w:t xml:space="preserve"> </w:t>
      </w:r>
      <w:r w:rsidR="00285D02">
        <w:rPr>
          <w:rFonts w:ascii="Times New Roman" w:hAnsi="Times New Roman" w:cs="Times New Roman"/>
        </w:rPr>
        <w:t xml:space="preserve">in </w:t>
      </w:r>
      <w:r w:rsidR="009115C6" w:rsidRPr="009115C6">
        <w:rPr>
          <w:rFonts w:ascii="Times New Roman" w:hAnsi="Times New Roman" w:cs="Times New Roman"/>
        </w:rPr>
        <w:t>a</w:t>
      </w:r>
      <w:r w:rsidR="00285D02">
        <w:rPr>
          <w:rFonts w:ascii="Times New Roman" w:hAnsi="Times New Roman" w:cs="Times New Roman"/>
        </w:rPr>
        <w:t xml:space="preserve"> </w:t>
      </w:r>
      <w:r w:rsidR="009115C6" w:rsidRPr="009115C6">
        <w:rPr>
          <w:rFonts w:ascii="Times New Roman" w:hAnsi="Times New Roman" w:cs="Times New Roman"/>
        </w:rPr>
        <w:t>catalog</w:t>
      </w:r>
      <w:r w:rsidR="002337E4">
        <w:rPr>
          <w:rFonts w:ascii="Times New Roman" w:hAnsi="Times New Roman" w:cs="Times New Roman"/>
        </w:rPr>
        <w:t xml:space="preserve"> of works at the </w:t>
      </w:r>
      <w:r w:rsidR="00285D02">
        <w:rPr>
          <w:rFonts w:ascii="Times New Roman" w:hAnsi="Times New Roman" w:cs="Times New Roman"/>
        </w:rPr>
        <w:t>Museum</w:t>
      </w:r>
      <w:r w:rsidR="009115C6" w:rsidRPr="009115C6">
        <w:rPr>
          <w:rFonts w:ascii="Times New Roman" w:hAnsi="Times New Roman" w:cs="Times New Roman"/>
        </w:rPr>
        <w:t>,</w:t>
      </w:r>
      <w:r w:rsidR="00E44F6A">
        <w:rPr>
          <w:rFonts w:ascii="Times New Roman" w:hAnsi="Times New Roman" w:cs="Times New Roman"/>
        </w:rPr>
        <w:t xml:space="preserve"> titled</w:t>
      </w:r>
      <w:r w:rsidR="009115C6" w:rsidRPr="009115C6">
        <w:rPr>
          <w:rFonts w:ascii="Times New Roman" w:hAnsi="Times New Roman" w:cs="Times New Roman"/>
        </w:rPr>
        <w:t xml:space="preserve"> the Catalogue of Foreign Painting in MNW</w:t>
      </w:r>
      <w:r w:rsidR="0064727F">
        <w:rPr>
          <w:rFonts w:ascii="Times New Roman" w:hAnsi="Times New Roman" w:cs="Times New Roman"/>
        </w:rPr>
        <w:t>.</w:t>
      </w:r>
      <w:r w:rsidR="0064727F" w:rsidRPr="00273C5A">
        <w:rPr>
          <w:rStyle w:val="FootnoteReference"/>
          <w:rFonts w:ascii="Times New Roman" w:hAnsi="Times New Roman" w:cs="Times New Roman"/>
          <w:vertAlign w:val="superscript"/>
        </w:rPr>
        <w:footnoteReference w:id="2"/>
      </w:r>
    </w:p>
    <w:p w:rsidR="00125ECB" w:rsidRDefault="002337E4" w:rsidP="00867E2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some point during</w:t>
      </w:r>
      <w:r w:rsidR="00E7067D" w:rsidRPr="009811ED">
        <w:rPr>
          <w:rFonts w:ascii="Times New Roman" w:hAnsi="Times New Roman" w:cs="Times New Roman"/>
        </w:rPr>
        <w:t xml:space="preserve"> World </w:t>
      </w:r>
      <w:r w:rsidR="00E44F6A">
        <w:rPr>
          <w:rFonts w:ascii="Times New Roman" w:hAnsi="Times New Roman" w:cs="Times New Roman"/>
        </w:rPr>
        <w:t>War II</w:t>
      </w:r>
      <w:r>
        <w:rPr>
          <w:rFonts w:ascii="Times New Roman" w:hAnsi="Times New Roman" w:cs="Times New Roman"/>
        </w:rPr>
        <w:t>, the Pa</w:t>
      </w:r>
      <w:r w:rsidR="00FE0B4E">
        <w:rPr>
          <w:rFonts w:ascii="Times New Roman" w:hAnsi="Times New Roman" w:cs="Times New Roman"/>
        </w:rPr>
        <w:t xml:space="preserve">inting was removed from the </w:t>
      </w:r>
      <w:r w:rsidR="00285D02">
        <w:rPr>
          <w:rFonts w:ascii="Times New Roman" w:hAnsi="Times New Roman" w:cs="Times New Roman"/>
        </w:rPr>
        <w:t>Museum</w:t>
      </w:r>
      <w:r w:rsidR="00FE0B4E">
        <w:rPr>
          <w:rFonts w:ascii="Times New Roman" w:hAnsi="Times New Roman" w:cs="Times New Roman"/>
        </w:rPr>
        <w:t>, likely by the occupying authorities of Nazi Germany, or by looters late in the war.</w:t>
      </w:r>
    </w:p>
    <w:p w:rsidR="009115C6" w:rsidRDefault="009115C6" w:rsidP="00867E2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1949, the Vice</w:t>
      </w:r>
      <w:r w:rsidR="00FE0B4E">
        <w:rPr>
          <w:rFonts w:ascii="Times New Roman" w:hAnsi="Times New Roman" w:cs="Times New Roman"/>
        </w:rPr>
        <w:t xml:space="preserve"> Director of the </w:t>
      </w:r>
      <w:r w:rsidR="00285D02">
        <w:rPr>
          <w:rFonts w:ascii="Times New Roman" w:hAnsi="Times New Roman" w:cs="Times New Roman"/>
        </w:rPr>
        <w:t>Museum</w:t>
      </w:r>
      <w:r>
        <w:rPr>
          <w:rFonts w:ascii="Times New Roman" w:hAnsi="Times New Roman" w:cs="Times New Roman"/>
        </w:rPr>
        <w:t xml:space="preserve"> confirmed in a letter to Janina </w:t>
      </w:r>
      <w:proofErr w:type="spellStart"/>
      <w:r>
        <w:rPr>
          <w:rFonts w:ascii="Times New Roman" w:hAnsi="Times New Roman" w:cs="Times New Roman"/>
        </w:rPr>
        <w:t>Poplawsk</w:t>
      </w:r>
      <w:r w:rsidR="009A16B1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, which was to be provided to the </w:t>
      </w:r>
      <w:r w:rsidR="00FE0B4E">
        <w:rPr>
          <w:rFonts w:ascii="Times New Roman" w:hAnsi="Times New Roman" w:cs="Times New Roman"/>
        </w:rPr>
        <w:t xml:space="preserve">Government of the City of </w:t>
      </w:r>
      <w:r>
        <w:rPr>
          <w:rFonts w:ascii="Times New Roman" w:hAnsi="Times New Roman" w:cs="Times New Roman"/>
        </w:rPr>
        <w:t>Warsaw, th</w:t>
      </w:r>
      <w:r w:rsidR="00FE0B4E">
        <w:rPr>
          <w:rFonts w:ascii="Times New Roman" w:hAnsi="Times New Roman" w:cs="Times New Roman"/>
        </w:rPr>
        <w:t xml:space="preserve">at forty-five </w:t>
      </w:r>
      <w:r>
        <w:rPr>
          <w:rFonts w:ascii="Times New Roman" w:hAnsi="Times New Roman" w:cs="Times New Roman"/>
        </w:rPr>
        <w:t xml:space="preserve">paintings from the </w:t>
      </w:r>
      <w:proofErr w:type="spellStart"/>
      <w:r>
        <w:rPr>
          <w:rFonts w:ascii="Times New Roman" w:hAnsi="Times New Roman" w:cs="Times New Roman"/>
        </w:rPr>
        <w:t>Poplawsk</w:t>
      </w:r>
      <w:r w:rsidR="005D71D1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collection</w:t>
      </w:r>
      <w:r w:rsidR="00FE0B4E">
        <w:rPr>
          <w:rFonts w:ascii="Times New Roman" w:hAnsi="Times New Roman" w:cs="Times New Roman"/>
        </w:rPr>
        <w:t>, including the Painting,</w:t>
      </w:r>
      <w:r>
        <w:rPr>
          <w:rFonts w:ascii="Times New Roman" w:hAnsi="Times New Roman" w:cs="Times New Roman"/>
        </w:rPr>
        <w:t xml:space="preserve"> were </w:t>
      </w:r>
      <w:r w:rsidR="005D6F9F">
        <w:rPr>
          <w:rFonts w:ascii="Times New Roman" w:hAnsi="Times New Roman" w:cs="Times New Roman"/>
        </w:rPr>
        <w:t xml:space="preserve">lost during the war.  </w:t>
      </w:r>
    </w:p>
    <w:p w:rsidR="005D6F9F" w:rsidRPr="009811ED" w:rsidRDefault="00FE0B4E" w:rsidP="00FE0B4E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Painting was subsequently listed in the </w:t>
      </w:r>
      <w:r w:rsidR="005D6F9F">
        <w:rPr>
          <w:rFonts w:ascii="Times New Roman" w:hAnsi="Times New Roman" w:cs="Times New Roman"/>
        </w:rPr>
        <w:t>database of cultural assets l</w:t>
      </w:r>
      <w:r>
        <w:rPr>
          <w:rFonts w:ascii="Times New Roman" w:hAnsi="Times New Roman" w:cs="Times New Roman"/>
        </w:rPr>
        <w:t>ost as a result of World War II that is maintained by the Polish Ministry of Culture and National Heritage.</w:t>
      </w:r>
    </w:p>
    <w:p w:rsidR="005357B7" w:rsidRPr="009811ED" w:rsidRDefault="005357B7" w:rsidP="005357B7">
      <w:pPr>
        <w:pStyle w:val="ListParagraph"/>
        <w:widowControl/>
        <w:spacing w:line="48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9811ED">
        <w:rPr>
          <w:rFonts w:ascii="Times New Roman" w:hAnsi="Times New Roman" w:cs="Times New Roman"/>
          <w:b/>
          <w:u w:val="single"/>
        </w:rPr>
        <w:t>OWNERSHIP OF THE PAINTING</w:t>
      </w:r>
    </w:p>
    <w:p w:rsidR="007B6AB5" w:rsidRPr="00273C5A" w:rsidRDefault="0064727F" w:rsidP="00273C5A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64727F">
        <w:rPr>
          <w:rFonts w:ascii="Times New Roman" w:hAnsi="Times New Roman" w:cs="Times New Roman"/>
        </w:rPr>
        <w:t xml:space="preserve">Up to 1945, the </w:t>
      </w:r>
      <w:r>
        <w:rPr>
          <w:rFonts w:ascii="Times New Roman" w:hAnsi="Times New Roman" w:cs="Times New Roman"/>
        </w:rPr>
        <w:t>M</w:t>
      </w:r>
      <w:r w:rsidRPr="0064727F">
        <w:rPr>
          <w:rFonts w:ascii="Times New Roman" w:hAnsi="Times New Roman" w:cs="Times New Roman"/>
        </w:rPr>
        <w:t xml:space="preserve">useum had been a communal institution of the City of Warsaw, after which point it and all of its collections became an institution of the country of Poland pursuant to a ruling dated May </w:t>
      </w:r>
      <w:r>
        <w:rPr>
          <w:rFonts w:ascii="Times New Roman" w:hAnsi="Times New Roman" w:cs="Times New Roman"/>
        </w:rPr>
        <w:t xml:space="preserve">7, </w:t>
      </w:r>
      <w:r w:rsidRPr="0064727F">
        <w:rPr>
          <w:rFonts w:ascii="Times New Roman" w:hAnsi="Times New Roman" w:cs="Times New Roman"/>
        </w:rPr>
        <w:t xml:space="preserve">1945 on the nationalization of the </w:t>
      </w:r>
      <w:r>
        <w:rPr>
          <w:rFonts w:ascii="Times New Roman" w:hAnsi="Times New Roman" w:cs="Times New Roman"/>
        </w:rPr>
        <w:t xml:space="preserve">Museum.  </w:t>
      </w:r>
      <w:r w:rsidRPr="0064727F">
        <w:rPr>
          <w:rFonts w:ascii="Times New Roman" w:hAnsi="Times New Roman" w:cs="Times New Roman"/>
        </w:rPr>
        <w:t>As a</w:t>
      </w:r>
      <w:r>
        <w:rPr>
          <w:rFonts w:ascii="Times New Roman" w:hAnsi="Times New Roman" w:cs="Times New Roman"/>
        </w:rPr>
        <w:t xml:space="preserve"> result of that ruling</w:t>
      </w:r>
      <w:r w:rsidRPr="0064727F">
        <w:rPr>
          <w:rFonts w:ascii="Times New Roman" w:hAnsi="Times New Roman" w:cs="Times New Roman"/>
        </w:rPr>
        <w:t xml:space="preserve">, all of the </w:t>
      </w:r>
      <w:r>
        <w:rPr>
          <w:rFonts w:ascii="Times New Roman" w:hAnsi="Times New Roman" w:cs="Times New Roman"/>
        </w:rPr>
        <w:t>M</w:t>
      </w:r>
      <w:r w:rsidRPr="0064727F">
        <w:rPr>
          <w:rFonts w:ascii="Times New Roman" w:hAnsi="Times New Roman" w:cs="Times New Roman"/>
        </w:rPr>
        <w:t>useum</w:t>
      </w:r>
      <w:r>
        <w:rPr>
          <w:rFonts w:ascii="Times New Roman" w:hAnsi="Times New Roman" w:cs="Times New Roman"/>
        </w:rPr>
        <w:t>’</w:t>
      </w:r>
      <w:r w:rsidRPr="0064727F">
        <w:rPr>
          <w:rFonts w:ascii="Times New Roman" w:hAnsi="Times New Roman" w:cs="Times New Roman"/>
        </w:rPr>
        <w:t xml:space="preserve">s holdings became the property of the country of Poland. </w:t>
      </w:r>
    </w:p>
    <w:p w:rsidR="0064727F" w:rsidRDefault="0064727F" w:rsidP="00273C5A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64727F">
        <w:rPr>
          <w:rFonts w:ascii="Times New Roman" w:hAnsi="Times New Roman" w:cs="Times New Roman"/>
        </w:rPr>
        <w:lastRenderedPageBreak/>
        <w:t xml:space="preserve">In a motion </w:t>
      </w:r>
      <w:r>
        <w:rPr>
          <w:rFonts w:ascii="Times New Roman" w:hAnsi="Times New Roman" w:cs="Times New Roman"/>
        </w:rPr>
        <w:t xml:space="preserve">to the Polish Minister of Finance </w:t>
      </w:r>
      <w:r w:rsidRPr="0064727F">
        <w:rPr>
          <w:rFonts w:ascii="Times New Roman" w:hAnsi="Times New Roman" w:cs="Times New Roman"/>
        </w:rPr>
        <w:t xml:space="preserve">dated December 31, 1987, the Museum petitioned the Minister of Finance for the custodianship of objects deposited in the Museum in the years 1916–1948 by institutions which no longer </w:t>
      </w:r>
      <w:r>
        <w:rPr>
          <w:rFonts w:ascii="Times New Roman" w:hAnsi="Times New Roman" w:cs="Times New Roman"/>
        </w:rPr>
        <w:t>existed at the time</w:t>
      </w:r>
      <w:r w:rsidRPr="0064727F">
        <w:rPr>
          <w:rFonts w:ascii="Times New Roman" w:hAnsi="Times New Roman" w:cs="Times New Roman"/>
        </w:rPr>
        <w:t xml:space="preserve">.  </w:t>
      </w:r>
    </w:p>
    <w:p w:rsidR="00125ECB" w:rsidRPr="0064727F" w:rsidRDefault="005357B7" w:rsidP="00273C5A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64727F">
        <w:rPr>
          <w:rFonts w:ascii="Times New Roman" w:hAnsi="Times New Roman" w:cs="Times New Roman"/>
        </w:rPr>
        <w:t>In or about 1989, the Polish Minist</w:t>
      </w:r>
      <w:r w:rsidR="009811ED" w:rsidRPr="0064727F">
        <w:rPr>
          <w:rFonts w:ascii="Times New Roman" w:hAnsi="Times New Roman" w:cs="Times New Roman"/>
        </w:rPr>
        <w:t xml:space="preserve">er of Finance issued a decision </w:t>
      </w:r>
      <w:r w:rsidR="0064727F" w:rsidRPr="0064727F">
        <w:rPr>
          <w:rFonts w:ascii="Times New Roman" w:hAnsi="Times New Roman" w:cs="Times New Roman"/>
        </w:rPr>
        <w:t xml:space="preserve">on </w:t>
      </w:r>
      <w:r w:rsidR="0064727F">
        <w:rPr>
          <w:rFonts w:ascii="Times New Roman" w:hAnsi="Times New Roman" w:cs="Times New Roman"/>
        </w:rPr>
        <w:t xml:space="preserve">the December 31, 1987 </w:t>
      </w:r>
      <w:r w:rsidR="0064727F" w:rsidRPr="0064727F">
        <w:rPr>
          <w:rFonts w:ascii="Times New Roman" w:hAnsi="Times New Roman" w:cs="Times New Roman"/>
        </w:rPr>
        <w:t xml:space="preserve">motion which </w:t>
      </w:r>
      <w:r w:rsidR="0064727F">
        <w:rPr>
          <w:rFonts w:ascii="Times New Roman" w:hAnsi="Times New Roman" w:cs="Times New Roman"/>
        </w:rPr>
        <w:t xml:space="preserve">makes clear that the Painting, among other items, belong to the Polish State Treasury and are entrusted to the Museum. </w:t>
      </w:r>
    </w:p>
    <w:p w:rsidR="004F5FE2" w:rsidRPr="009811ED" w:rsidRDefault="004F5FE2" w:rsidP="004F5FE2">
      <w:pPr>
        <w:pStyle w:val="ListParagraph"/>
        <w:widowControl/>
        <w:spacing w:line="48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9811ED">
        <w:rPr>
          <w:rFonts w:ascii="Times New Roman" w:hAnsi="Times New Roman" w:cs="Times New Roman"/>
          <w:b/>
          <w:u w:val="single"/>
        </w:rPr>
        <w:t xml:space="preserve">CURRENT LOCATION OF THE </w:t>
      </w:r>
      <w:r w:rsidR="00A14569" w:rsidRPr="009811ED">
        <w:rPr>
          <w:rFonts w:ascii="Times New Roman" w:hAnsi="Times New Roman" w:cs="Times New Roman"/>
          <w:b/>
          <w:u w:val="single"/>
        </w:rPr>
        <w:t>PAINTING</w:t>
      </w:r>
    </w:p>
    <w:p w:rsidR="004F5FE2" w:rsidRPr="009811ED" w:rsidRDefault="004F5FE2" w:rsidP="00666C5F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In or about </w:t>
      </w:r>
      <w:r w:rsidR="005D6F9F">
        <w:rPr>
          <w:rFonts w:ascii="Times New Roman" w:hAnsi="Times New Roman" w:cs="Times New Roman"/>
        </w:rPr>
        <w:t xml:space="preserve">November 2006, </w:t>
      </w:r>
      <w:r w:rsidR="005E443D">
        <w:rPr>
          <w:rFonts w:ascii="Times New Roman" w:hAnsi="Times New Roman" w:cs="Times New Roman"/>
        </w:rPr>
        <w:t xml:space="preserve">Roy Craig Gilmore (“Gilmore”) purchased </w:t>
      </w:r>
      <w:r w:rsidR="005D6F9F">
        <w:rPr>
          <w:rFonts w:ascii="Times New Roman" w:hAnsi="Times New Roman" w:cs="Times New Roman"/>
        </w:rPr>
        <w:t xml:space="preserve">the Painting </w:t>
      </w:r>
      <w:r w:rsidR="005E443D">
        <w:rPr>
          <w:rFonts w:ascii="Times New Roman" w:hAnsi="Times New Roman" w:cs="Times New Roman"/>
        </w:rPr>
        <w:t xml:space="preserve">at an auction conducted by a </w:t>
      </w:r>
      <w:r w:rsidR="005D6F9F">
        <w:rPr>
          <w:rFonts w:ascii="Times New Roman" w:hAnsi="Times New Roman" w:cs="Times New Roman"/>
        </w:rPr>
        <w:t>New York City auction house</w:t>
      </w:r>
      <w:r w:rsidR="00666C5F" w:rsidRPr="009811ED">
        <w:rPr>
          <w:rFonts w:ascii="Times New Roman" w:hAnsi="Times New Roman" w:cs="Times New Roman"/>
        </w:rPr>
        <w:t>.</w:t>
      </w:r>
    </w:p>
    <w:p w:rsidR="005D6F9F" w:rsidRDefault="005D6F9F" w:rsidP="00162DB2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5D6F9F">
        <w:rPr>
          <w:rFonts w:ascii="Times New Roman" w:hAnsi="Times New Roman" w:cs="Times New Roman"/>
        </w:rPr>
        <w:t xml:space="preserve">At the time of the sale to Gilmore, the Painting was identified as being in the Manner of Paulus </w:t>
      </w:r>
      <w:proofErr w:type="spellStart"/>
      <w:r w:rsidRPr="005D6F9F">
        <w:rPr>
          <w:rFonts w:ascii="Times New Roman" w:hAnsi="Times New Roman" w:cs="Times New Roman"/>
        </w:rPr>
        <w:t>Moreelse</w:t>
      </w:r>
      <w:proofErr w:type="spellEnd"/>
      <w:r w:rsidRPr="005D6F9F">
        <w:rPr>
          <w:rFonts w:ascii="Times New Roman" w:hAnsi="Times New Roman" w:cs="Times New Roman"/>
        </w:rPr>
        <w:t xml:space="preserve"> entitled “Elegant Lady Wearing a Millstone Ruffle.”</w:t>
      </w:r>
    </w:p>
    <w:p w:rsidR="0064727F" w:rsidRPr="0064727F" w:rsidRDefault="0064727F" w:rsidP="0064727F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64727F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 xml:space="preserve">the sale of the Painting </w:t>
      </w:r>
      <w:r w:rsidRPr="0064727F">
        <w:rPr>
          <w:rFonts w:ascii="Times New Roman" w:hAnsi="Times New Roman" w:cs="Times New Roman"/>
        </w:rPr>
        <w:t>Gilmore and his partner, David Crocker (“Crocker”),</w:t>
      </w:r>
      <w:r>
        <w:rPr>
          <w:rFonts w:ascii="Times New Roman" w:hAnsi="Times New Roman" w:cs="Times New Roman"/>
        </w:rPr>
        <w:t xml:space="preserve"> p</w:t>
      </w:r>
      <w:r w:rsidRPr="0064727F">
        <w:rPr>
          <w:rFonts w:ascii="Times New Roman" w:hAnsi="Times New Roman" w:cs="Times New Roman"/>
        </w:rPr>
        <w:t xml:space="preserve">urchased an </w:t>
      </w:r>
      <w:r>
        <w:rPr>
          <w:rFonts w:ascii="Times New Roman" w:hAnsi="Times New Roman" w:cs="Times New Roman"/>
        </w:rPr>
        <w:t xml:space="preserve">antique frame for the Painting that still remains affixed to the Painting.  </w:t>
      </w:r>
    </w:p>
    <w:p w:rsidR="00867E2E" w:rsidRDefault="0064727F" w:rsidP="00162DB2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867E2E" w:rsidRPr="005D6F9F">
        <w:rPr>
          <w:rFonts w:ascii="Times New Roman" w:hAnsi="Times New Roman" w:cs="Times New Roman"/>
        </w:rPr>
        <w:t xml:space="preserve"> being advised by </w:t>
      </w:r>
      <w:r w:rsidR="005D6F9F">
        <w:rPr>
          <w:rFonts w:ascii="Times New Roman" w:hAnsi="Times New Roman" w:cs="Times New Roman"/>
        </w:rPr>
        <w:t xml:space="preserve">HSI that the Painting </w:t>
      </w:r>
      <w:r w:rsidR="00867E2E" w:rsidRPr="005D6F9F">
        <w:rPr>
          <w:rFonts w:ascii="Times New Roman" w:hAnsi="Times New Roman" w:cs="Times New Roman"/>
        </w:rPr>
        <w:t>was stolen</w:t>
      </w:r>
      <w:r w:rsidR="00A430DD">
        <w:rPr>
          <w:rFonts w:ascii="Times New Roman" w:hAnsi="Times New Roman" w:cs="Times New Roman"/>
        </w:rPr>
        <w:t xml:space="preserve"> </w:t>
      </w:r>
      <w:r w:rsidR="005D6F9F">
        <w:rPr>
          <w:rFonts w:ascii="Times New Roman" w:hAnsi="Times New Roman" w:cs="Times New Roman"/>
        </w:rPr>
        <w:t xml:space="preserve">Gilmore </w:t>
      </w:r>
      <w:r>
        <w:rPr>
          <w:rFonts w:ascii="Times New Roman" w:hAnsi="Times New Roman" w:cs="Times New Roman"/>
        </w:rPr>
        <w:t xml:space="preserve">and Crocker, individually and jointly, </w:t>
      </w:r>
      <w:r w:rsidR="00867E2E" w:rsidRPr="005D6F9F">
        <w:rPr>
          <w:rFonts w:ascii="Times New Roman" w:hAnsi="Times New Roman" w:cs="Times New Roman"/>
        </w:rPr>
        <w:t xml:space="preserve">voluntarily </w:t>
      </w:r>
      <w:r w:rsidR="00C34D3B">
        <w:rPr>
          <w:rFonts w:ascii="Times New Roman" w:hAnsi="Times New Roman" w:cs="Times New Roman"/>
        </w:rPr>
        <w:t>agreed to turn</w:t>
      </w:r>
      <w:r>
        <w:rPr>
          <w:rFonts w:ascii="Times New Roman" w:hAnsi="Times New Roman" w:cs="Times New Roman"/>
        </w:rPr>
        <w:t xml:space="preserve"> over the Painting with the antique frame to HSI.  Gilmore and Crocker further voluntarily </w:t>
      </w:r>
      <w:r w:rsidR="00867E2E" w:rsidRPr="005D6F9F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, individually and jointly, </w:t>
      </w:r>
      <w:r w:rsidR="00867E2E" w:rsidRPr="005D6F9F">
        <w:rPr>
          <w:rFonts w:ascii="Times New Roman" w:hAnsi="Times New Roman" w:cs="Times New Roman"/>
        </w:rPr>
        <w:t xml:space="preserve">to relinquish all right, title, and interest </w:t>
      </w:r>
      <w:r>
        <w:rPr>
          <w:rFonts w:ascii="Times New Roman" w:hAnsi="Times New Roman" w:cs="Times New Roman"/>
        </w:rPr>
        <w:t>they</w:t>
      </w:r>
      <w:r w:rsidR="00867E2E" w:rsidRPr="005D6F9F">
        <w:rPr>
          <w:rFonts w:ascii="Times New Roman" w:hAnsi="Times New Roman" w:cs="Times New Roman"/>
        </w:rPr>
        <w:t xml:space="preserve"> may have in the </w:t>
      </w:r>
      <w:r w:rsidR="005D71D1">
        <w:rPr>
          <w:rFonts w:ascii="Times New Roman" w:hAnsi="Times New Roman" w:cs="Times New Roman"/>
        </w:rPr>
        <w:t>Painting</w:t>
      </w:r>
      <w:r w:rsidR="00B66E15" w:rsidRPr="005D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frame </w:t>
      </w:r>
      <w:r w:rsidR="00867E2E" w:rsidRPr="005D6F9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to </w:t>
      </w:r>
      <w:r w:rsidR="00867E2E" w:rsidRPr="005D6F9F">
        <w:rPr>
          <w:rFonts w:ascii="Times New Roman" w:hAnsi="Times New Roman" w:cs="Times New Roman"/>
        </w:rPr>
        <w:t xml:space="preserve">take such steps as are necessary for </w:t>
      </w:r>
      <w:r w:rsidR="005D6F9F">
        <w:rPr>
          <w:rFonts w:ascii="Times New Roman" w:hAnsi="Times New Roman" w:cs="Times New Roman"/>
        </w:rPr>
        <w:t xml:space="preserve">HSI to </w:t>
      </w:r>
      <w:r w:rsidR="00867E2E" w:rsidRPr="005D6F9F">
        <w:rPr>
          <w:rFonts w:ascii="Times New Roman" w:hAnsi="Times New Roman" w:cs="Times New Roman"/>
        </w:rPr>
        <w:t xml:space="preserve">return it to the </w:t>
      </w:r>
      <w:r>
        <w:rPr>
          <w:rFonts w:ascii="Times New Roman" w:hAnsi="Times New Roman" w:cs="Times New Roman"/>
        </w:rPr>
        <w:t xml:space="preserve">Government of Poland and the custody of the </w:t>
      </w:r>
      <w:r w:rsidR="00285D02">
        <w:rPr>
          <w:rFonts w:ascii="Times New Roman" w:hAnsi="Times New Roman" w:cs="Times New Roman"/>
        </w:rPr>
        <w:t>Museum</w:t>
      </w:r>
      <w:r>
        <w:rPr>
          <w:rFonts w:ascii="Times New Roman" w:hAnsi="Times New Roman" w:cs="Times New Roman"/>
        </w:rPr>
        <w:t>.</w:t>
      </w:r>
    </w:p>
    <w:p w:rsidR="0064727F" w:rsidRDefault="00A430DD" w:rsidP="0064727F">
      <w:pPr>
        <w:pStyle w:val="ListParagraph"/>
        <w:widowControl/>
        <w:numPr>
          <w:ilvl w:val="0"/>
          <w:numId w:val="3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October 11, 2016, HSI Special Agents </w:t>
      </w:r>
      <w:r w:rsidR="0064727F">
        <w:rPr>
          <w:rFonts w:ascii="Times New Roman" w:hAnsi="Times New Roman" w:cs="Times New Roman"/>
        </w:rPr>
        <w:t xml:space="preserve">took possession of the </w:t>
      </w:r>
      <w:r>
        <w:rPr>
          <w:rFonts w:ascii="Times New Roman" w:hAnsi="Times New Roman" w:cs="Times New Roman"/>
        </w:rPr>
        <w:t>Painting</w:t>
      </w:r>
      <w:r w:rsidR="0064727F">
        <w:rPr>
          <w:rFonts w:ascii="Times New Roman" w:hAnsi="Times New Roman" w:cs="Times New Roman"/>
        </w:rPr>
        <w:t xml:space="preserve"> and frame from Gilmore and Crocker</w:t>
      </w:r>
      <w:r w:rsidR="00697DA6">
        <w:rPr>
          <w:rFonts w:ascii="Times New Roman" w:hAnsi="Times New Roman" w:cs="Times New Roman"/>
        </w:rPr>
        <w:t xml:space="preserve">. </w:t>
      </w:r>
      <w:r w:rsidR="00697DA6" w:rsidRPr="0064727F">
        <w:rPr>
          <w:rFonts w:ascii="Times New Roman" w:hAnsi="Times New Roman" w:cs="Times New Roman"/>
        </w:rPr>
        <w:t xml:space="preserve"> </w:t>
      </w:r>
    </w:p>
    <w:p w:rsidR="00867E2E" w:rsidRPr="009811ED" w:rsidRDefault="00867E2E" w:rsidP="00867E2E">
      <w:pPr>
        <w:pStyle w:val="ListParagraph"/>
        <w:widowControl/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lastRenderedPageBreak/>
        <w:t xml:space="preserve">WHEREAS, </w:t>
      </w:r>
      <w:r w:rsidR="005D71D1">
        <w:rPr>
          <w:rFonts w:ascii="Times New Roman" w:hAnsi="Times New Roman" w:cs="Times New Roman"/>
        </w:rPr>
        <w:t>Gilmore</w:t>
      </w:r>
      <w:r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and Crocker, individually and jointly, </w:t>
      </w:r>
      <w:r w:rsidRPr="009811ED">
        <w:rPr>
          <w:rFonts w:ascii="Times New Roman" w:hAnsi="Times New Roman" w:cs="Times New Roman"/>
        </w:rPr>
        <w:t xml:space="preserve">represent </w:t>
      </w:r>
      <w:r w:rsidR="0064727F">
        <w:rPr>
          <w:rFonts w:ascii="Times New Roman" w:hAnsi="Times New Roman" w:cs="Times New Roman"/>
        </w:rPr>
        <w:t xml:space="preserve">that they </w:t>
      </w:r>
      <w:r w:rsidR="00666C5F" w:rsidRPr="009811ED">
        <w:rPr>
          <w:rFonts w:ascii="Times New Roman" w:hAnsi="Times New Roman" w:cs="Times New Roman"/>
        </w:rPr>
        <w:t>had no</w:t>
      </w:r>
      <w:r w:rsidRPr="009811ED">
        <w:rPr>
          <w:rFonts w:ascii="Times New Roman" w:hAnsi="Times New Roman" w:cs="Times New Roman"/>
        </w:rPr>
        <w:t xml:space="preserve"> knowledge, at the time of </w:t>
      </w:r>
      <w:r w:rsidR="0064727F">
        <w:rPr>
          <w:rFonts w:ascii="Times New Roman" w:hAnsi="Times New Roman" w:cs="Times New Roman"/>
        </w:rPr>
        <w:t xml:space="preserve">the </w:t>
      </w:r>
      <w:r w:rsidR="00B66E15" w:rsidRPr="009811ED">
        <w:rPr>
          <w:rFonts w:ascii="Times New Roman" w:hAnsi="Times New Roman" w:cs="Times New Roman"/>
        </w:rPr>
        <w:t xml:space="preserve">purchase </w:t>
      </w:r>
      <w:r w:rsidR="0064727F">
        <w:rPr>
          <w:rFonts w:ascii="Times New Roman" w:hAnsi="Times New Roman" w:cs="Times New Roman"/>
        </w:rPr>
        <w:t xml:space="preserve">of the Painting </w:t>
      </w:r>
      <w:r w:rsidRPr="009811ED">
        <w:rPr>
          <w:rFonts w:ascii="Times New Roman" w:hAnsi="Times New Roman" w:cs="Times New Roman"/>
        </w:rPr>
        <w:t xml:space="preserve">or at any other time prior to being contacted by </w:t>
      </w:r>
      <w:r w:rsidR="005D71D1">
        <w:rPr>
          <w:rFonts w:ascii="Times New Roman" w:hAnsi="Times New Roman" w:cs="Times New Roman"/>
        </w:rPr>
        <w:t>HSI</w:t>
      </w:r>
      <w:r w:rsidRPr="009811ED">
        <w:rPr>
          <w:rFonts w:ascii="Times New Roman" w:hAnsi="Times New Roman" w:cs="Times New Roman"/>
        </w:rPr>
        <w:t xml:space="preserve">, that the </w:t>
      </w:r>
      <w:r w:rsidR="005D71D1">
        <w:rPr>
          <w:rFonts w:ascii="Times New Roman" w:hAnsi="Times New Roman" w:cs="Times New Roman"/>
        </w:rPr>
        <w:t>Painting</w:t>
      </w:r>
      <w:r w:rsidR="00B66E15" w:rsidRPr="009811ED">
        <w:rPr>
          <w:rFonts w:ascii="Times New Roman" w:hAnsi="Times New Roman" w:cs="Times New Roman"/>
        </w:rPr>
        <w:t xml:space="preserve"> </w:t>
      </w:r>
      <w:r w:rsidRPr="009811ED">
        <w:rPr>
          <w:rFonts w:ascii="Times New Roman" w:hAnsi="Times New Roman" w:cs="Times New Roman"/>
        </w:rPr>
        <w:t xml:space="preserve">was stolen; </w:t>
      </w:r>
    </w:p>
    <w:p w:rsidR="00867E2E" w:rsidRPr="009811ED" w:rsidRDefault="00867E2E" w:rsidP="00867E2E">
      <w:pPr>
        <w:pStyle w:val="ListParagraph"/>
        <w:widowControl/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WHEREAS, </w:t>
      </w:r>
      <w:r w:rsidR="005D71D1">
        <w:rPr>
          <w:rFonts w:ascii="Times New Roman" w:hAnsi="Times New Roman" w:cs="Times New Roman"/>
        </w:rPr>
        <w:t>Gilmore</w:t>
      </w:r>
      <w:r w:rsidR="00B66E15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>and Crocker, individually and jointly, wish</w:t>
      </w:r>
      <w:r w:rsidRPr="009811ED">
        <w:rPr>
          <w:rFonts w:ascii="Times New Roman" w:hAnsi="Times New Roman" w:cs="Times New Roman"/>
        </w:rPr>
        <w:t xml:space="preserve"> to have the </w:t>
      </w:r>
      <w:r w:rsidR="005D71D1">
        <w:rPr>
          <w:rFonts w:ascii="Times New Roman" w:hAnsi="Times New Roman" w:cs="Times New Roman"/>
        </w:rPr>
        <w:t>Painting</w:t>
      </w:r>
      <w:r w:rsidR="00B66E15" w:rsidRPr="009811ED">
        <w:rPr>
          <w:rFonts w:ascii="Times New Roman" w:hAnsi="Times New Roman" w:cs="Times New Roman"/>
        </w:rPr>
        <w:t xml:space="preserve"> </w:t>
      </w:r>
      <w:r w:rsidRPr="009811ED">
        <w:rPr>
          <w:rFonts w:ascii="Times New Roman" w:hAnsi="Times New Roman" w:cs="Times New Roman"/>
        </w:rPr>
        <w:t>returned to the rightful owner and ha</w:t>
      </w:r>
      <w:r w:rsidR="0064727F">
        <w:rPr>
          <w:rFonts w:ascii="Times New Roman" w:hAnsi="Times New Roman" w:cs="Times New Roman"/>
        </w:rPr>
        <w:t>ve</w:t>
      </w:r>
      <w:r w:rsidRPr="009811ED">
        <w:rPr>
          <w:rFonts w:ascii="Times New Roman" w:hAnsi="Times New Roman" w:cs="Times New Roman"/>
        </w:rPr>
        <w:t xml:space="preserve"> agreed to voluntarily relinquish all right, title, and interest </w:t>
      </w:r>
      <w:r w:rsidR="0064727F">
        <w:rPr>
          <w:rFonts w:ascii="Times New Roman" w:hAnsi="Times New Roman" w:cs="Times New Roman"/>
        </w:rPr>
        <w:t>they</w:t>
      </w:r>
      <w:r w:rsidRPr="009811ED">
        <w:rPr>
          <w:rFonts w:ascii="Times New Roman" w:hAnsi="Times New Roman" w:cs="Times New Roman"/>
        </w:rPr>
        <w:t xml:space="preserve"> may have in the </w:t>
      </w:r>
      <w:r w:rsidR="005D71D1">
        <w:rPr>
          <w:rFonts w:ascii="Times New Roman" w:hAnsi="Times New Roman" w:cs="Times New Roman"/>
        </w:rPr>
        <w:t>Painting</w:t>
      </w:r>
      <w:r w:rsidR="0064727F">
        <w:rPr>
          <w:rFonts w:ascii="Times New Roman" w:hAnsi="Times New Roman" w:cs="Times New Roman"/>
        </w:rPr>
        <w:t xml:space="preserve"> and the frame</w:t>
      </w:r>
      <w:r w:rsidRPr="009811ED">
        <w:rPr>
          <w:rFonts w:ascii="Times New Roman" w:hAnsi="Times New Roman" w:cs="Times New Roman"/>
        </w:rPr>
        <w:t>; and</w:t>
      </w:r>
    </w:p>
    <w:p w:rsidR="00867E2E" w:rsidRPr="009811ED" w:rsidRDefault="00867E2E" w:rsidP="00867E2E">
      <w:pPr>
        <w:pStyle w:val="ListParagraph"/>
        <w:widowControl/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WHEREAS, the </w:t>
      </w:r>
      <w:r w:rsidR="00B66E15" w:rsidRPr="009811ED">
        <w:rPr>
          <w:rFonts w:ascii="Times New Roman" w:hAnsi="Times New Roman" w:cs="Times New Roman"/>
        </w:rPr>
        <w:t>U</w:t>
      </w:r>
      <w:r w:rsidRPr="009811ED">
        <w:rPr>
          <w:rFonts w:ascii="Times New Roman" w:hAnsi="Times New Roman" w:cs="Times New Roman"/>
        </w:rPr>
        <w:t xml:space="preserve">SAO, </w:t>
      </w:r>
      <w:r w:rsidR="005D71D1">
        <w:rPr>
          <w:rFonts w:ascii="Times New Roman" w:hAnsi="Times New Roman" w:cs="Times New Roman"/>
        </w:rPr>
        <w:t>HSI</w:t>
      </w:r>
      <w:r w:rsidRPr="009811ED">
        <w:rPr>
          <w:rFonts w:ascii="Times New Roman" w:hAnsi="Times New Roman" w:cs="Times New Roman"/>
        </w:rPr>
        <w:t xml:space="preserve">, </w:t>
      </w:r>
      <w:r w:rsidR="005D71D1">
        <w:rPr>
          <w:rFonts w:ascii="Times New Roman" w:hAnsi="Times New Roman" w:cs="Times New Roman"/>
        </w:rPr>
        <w:t>Gilmore</w:t>
      </w:r>
      <w:r w:rsidR="0064727F">
        <w:rPr>
          <w:rFonts w:ascii="Times New Roman" w:hAnsi="Times New Roman" w:cs="Times New Roman"/>
        </w:rPr>
        <w:t xml:space="preserve">, Crocker, </w:t>
      </w:r>
      <w:r w:rsidRPr="009811ED">
        <w:rPr>
          <w:rFonts w:ascii="Times New Roman" w:hAnsi="Times New Roman" w:cs="Times New Roman"/>
        </w:rPr>
        <w:t xml:space="preserve">and the </w:t>
      </w:r>
      <w:r w:rsidR="00B66E15" w:rsidRPr="009811ED">
        <w:rPr>
          <w:rFonts w:ascii="Times New Roman" w:hAnsi="Times New Roman" w:cs="Times New Roman"/>
        </w:rPr>
        <w:t xml:space="preserve">Republic of Poland </w:t>
      </w:r>
      <w:r w:rsidRPr="009811ED">
        <w:rPr>
          <w:rFonts w:ascii="Times New Roman" w:hAnsi="Times New Roman" w:cs="Times New Roman"/>
        </w:rPr>
        <w:t xml:space="preserve">have agreed that the </w:t>
      </w:r>
      <w:r w:rsidR="005D71D1">
        <w:rPr>
          <w:rFonts w:ascii="Times New Roman" w:hAnsi="Times New Roman" w:cs="Times New Roman"/>
        </w:rPr>
        <w:t xml:space="preserve">Painting </w:t>
      </w:r>
      <w:r w:rsidR="0064727F">
        <w:rPr>
          <w:rFonts w:ascii="Times New Roman" w:hAnsi="Times New Roman" w:cs="Times New Roman"/>
        </w:rPr>
        <w:t xml:space="preserve">and frame </w:t>
      </w:r>
      <w:r w:rsidRPr="009811ED">
        <w:rPr>
          <w:rFonts w:ascii="Times New Roman" w:hAnsi="Times New Roman" w:cs="Times New Roman"/>
        </w:rPr>
        <w:t>should be returned to the</w:t>
      </w:r>
      <w:r w:rsidR="00B66E15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custody of the </w:t>
      </w:r>
      <w:r w:rsidR="00285D02">
        <w:rPr>
          <w:rFonts w:ascii="Times New Roman" w:hAnsi="Times New Roman" w:cs="Times New Roman"/>
        </w:rPr>
        <w:t>Museum</w:t>
      </w:r>
      <w:r w:rsidR="0064727F">
        <w:rPr>
          <w:rFonts w:ascii="Times New Roman" w:hAnsi="Times New Roman" w:cs="Times New Roman"/>
        </w:rPr>
        <w:t xml:space="preserve"> and the Republic of Poland</w:t>
      </w:r>
      <w:r w:rsidRPr="009811ED">
        <w:rPr>
          <w:rFonts w:ascii="Times New Roman" w:hAnsi="Times New Roman" w:cs="Times New Roman"/>
        </w:rPr>
        <w:t xml:space="preserve">; </w:t>
      </w:r>
    </w:p>
    <w:p w:rsidR="00867E2E" w:rsidRPr="009811ED" w:rsidRDefault="00867E2E" w:rsidP="00867E2E">
      <w:pPr>
        <w:spacing w:line="480" w:lineRule="auto"/>
        <w:ind w:firstLine="72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IT IS HEREBY STIPULATED AND AGREED, by and between the undersigned parties, as follows:</w:t>
      </w:r>
    </w:p>
    <w:p w:rsidR="00867E2E" w:rsidRPr="009811ED" w:rsidRDefault="00867E2E" w:rsidP="00867E2E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The United States shall cause the </w:t>
      </w:r>
      <w:r w:rsidR="005D71D1">
        <w:rPr>
          <w:rFonts w:ascii="Times New Roman" w:hAnsi="Times New Roman" w:cs="Times New Roman"/>
        </w:rPr>
        <w:t>Painting</w:t>
      </w:r>
      <w:r w:rsidR="00B66E15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and frame </w:t>
      </w:r>
      <w:r w:rsidRPr="009811ED">
        <w:rPr>
          <w:rFonts w:ascii="Times New Roman" w:hAnsi="Times New Roman" w:cs="Times New Roman"/>
        </w:rPr>
        <w:t xml:space="preserve">to be transferred to the </w:t>
      </w:r>
      <w:r w:rsidR="00B66E15" w:rsidRPr="009811ED">
        <w:rPr>
          <w:rFonts w:ascii="Times New Roman" w:hAnsi="Times New Roman" w:cs="Times New Roman"/>
        </w:rPr>
        <w:t>Republic of Poland</w:t>
      </w:r>
      <w:r w:rsidR="00285D02">
        <w:rPr>
          <w:rFonts w:ascii="Times New Roman" w:hAnsi="Times New Roman" w:cs="Times New Roman"/>
        </w:rPr>
        <w:t xml:space="preserve"> for return to the </w:t>
      </w:r>
      <w:r w:rsidR="0064727F">
        <w:rPr>
          <w:rFonts w:ascii="Times New Roman" w:hAnsi="Times New Roman" w:cs="Times New Roman"/>
        </w:rPr>
        <w:t xml:space="preserve">custody of the </w:t>
      </w:r>
      <w:r w:rsidR="00285D02">
        <w:rPr>
          <w:rFonts w:ascii="Times New Roman" w:hAnsi="Times New Roman" w:cs="Times New Roman"/>
        </w:rPr>
        <w:t>Museum</w:t>
      </w:r>
      <w:r w:rsidRPr="009811ED">
        <w:rPr>
          <w:rFonts w:ascii="Times New Roman" w:hAnsi="Times New Roman" w:cs="Times New Roman"/>
        </w:rPr>
        <w:t>.</w:t>
      </w:r>
    </w:p>
    <w:p w:rsidR="00867E2E" w:rsidRPr="009811ED" w:rsidRDefault="005D71D1" w:rsidP="00867E2E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Gilmore</w:t>
      </w:r>
      <w:r w:rsidR="00867E2E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and Crocker, individually and jointly, </w:t>
      </w:r>
      <w:r w:rsidR="00867E2E" w:rsidRPr="009811ED">
        <w:rPr>
          <w:rFonts w:ascii="Times New Roman" w:hAnsi="Times New Roman" w:cs="Times New Roman"/>
        </w:rPr>
        <w:t xml:space="preserve">voluntarily relinquish all of </w:t>
      </w:r>
      <w:r w:rsidR="0064727F">
        <w:rPr>
          <w:rFonts w:ascii="Times New Roman" w:hAnsi="Times New Roman" w:cs="Times New Roman"/>
        </w:rPr>
        <w:t xml:space="preserve">their </w:t>
      </w:r>
      <w:r w:rsidR="00867E2E" w:rsidRPr="009811ED">
        <w:rPr>
          <w:rFonts w:ascii="Times New Roman" w:hAnsi="Times New Roman" w:cs="Times New Roman"/>
        </w:rPr>
        <w:t xml:space="preserve">right, title and interest in the </w:t>
      </w:r>
      <w:r>
        <w:rPr>
          <w:rFonts w:ascii="Times New Roman" w:hAnsi="Times New Roman" w:cs="Times New Roman"/>
        </w:rPr>
        <w:t>Painting</w:t>
      </w:r>
      <w:r w:rsidR="0064727F">
        <w:rPr>
          <w:rFonts w:ascii="Times New Roman" w:hAnsi="Times New Roman" w:cs="Times New Roman"/>
        </w:rPr>
        <w:t xml:space="preserve"> and frame</w:t>
      </w:r>
      <w:r w:rsidR="00434810" w:rsidRPr="009811ED">
        <w:rPr>
          <w:rFonts w:ascii="Times New Roman" w:hAnsi="Times New Roman" w:cs="Times New Roman"/>
        </w:rPr>
        <w:t>.</w:t>
      </w:r>
    </w:p>
    <w:p w:rsidR="00867E2E" w:rsidRPr="009811ED" w:rsidRDefault="005D71D1" w:rsidP="00867E2E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Gilmore </w:t>
      </w:r>
      <w:r w:rsidR="0064727F">
        <w:rPr>
          <w:rFonts w:ascii="Times New Roman" w:hAnsi="Times New Roman" w:cs="Times New Roman"/>
        </w:rPr>
        <w:t xml:space="preserve">and Crocker, individually and jointly, are </w:t>
      </w:r>
      <w:r>
        <w:rPr>
          <w:rFonts w:ascii="Times New Roman" w:hAnsi="Times New Roman" w:cs="Times New Roman"/>
        </w:rPr>
        <w:t>her</w:t>
      </w:r>
      <w:r w:rsidR="00867E2E" w:rsidRPr="009811ED">
        <w:rPr>
          <w:rFonts w:ascii="Times New Roman" w:hAnsi="Times New Roman" w:cs="Times New Roman"/>
        </w:rPr>
        <w:t xml:space="preserve">eby </w:t>
      </w:r>
      <w:r w:rsidR="00986A5A">
        <w:rPr>
          <w:rFonts w:ascii="Times New Roman" w:hAnsi="Times New Roman" w:cs="Times New Roman"/>
        </w:rPr>
        <w:t xml:space="preserve">forever </w:t>
      </w:r>
      <w:r w:rsidR="00867E2E" w:rsidRPr="009811ED">
        <w:rPr>
          <w:rFonts w:ascii="Times New Roman" w:hAnsi="Times New Roman" w:cs="Times New Roman"/>
        </w:rPr>
        <w:t xml:space="preserve">barred from asserting, or assisting others in asserting, any </w:t>
      </w:r>
      <w:r w:rsidR="00986A5A">
        <w:rPr>
          <w:rFonts w:ascii="Times New Roman" w:hAnsi="Times New Roman" w:cs="Times New Roman"/>
        </w:rPr>
        <w:t xml:space="preserve">and all </w:t>
      </w:r>
      <w:r w:rsidR="00867E2E" w:rsidRPr="009811ED">
        <w:rPr>
          <w:rFonts w:ascii="Times New Roman" w:hAnsi="Times New Roman" w:cs="Times New Roman"/>
        </w:rPr>
        <w:t>claim</w:t>
      </w:r>
      <w:r w:rsidR="00986A5A">
        <w:rPr>
          <w:rFonts w:ascii="Times New Roman" w:hAnsi="Times New Roman" w:cs="Times New Roman"/>
        </w:rPr>
        <w:t>s, actions, proceedings, suits, proceedings, debts, dues, contracts, judgments, damages, and/or demands</w:t>
      </w:r>
      <w:r w:rsidR="00867E2E" w:rsidRPr="009811ED">
        <w:rPr>
          <w:rFonts w:ascii="Times New Roman" w:hAnsi="Times New Roman" w:cs="Times New Roman"/>
        </w:rPr>
        <w:t xml:space="preserve"> </w:t>
      </w:r>
      <w:r w:rsidR="00986A5A">
        <w:rPr>
          <w:rFonts w:ascii="Times New Roman" w:hAnsi="Times New Roman" w:cs="Times New Roman"/>
        </w:rPr>
        <w:t xml:space="preserve">whatsoever in law or equity </w:t>
      </w:r>
      <w:r w:rsidR="00867E2E" w:rsidRPr="009811ED">
        <w:rPr>
          <w:rFonts w:ascii="Times New Roman" w:hAnsi="Times New Roman" w:cs="Times New Roman"/>
        </w:rPr>
        <w:t xml:space="preserve">against the United States of America (“USA”), </w:t>
      </w:r>
      <w:r w:rsidR="00A234DC">
        <w:rPr>
          <w:rFonts w:ascii="Times New Roman" w:hAnsi="Times New Roman" w:cs="Times New Roman"/>
        </w:rPr>
        <w:t xml:space="preserve">the DHS, </w:t>
      </w:r>
      <w:r w:rsidR="00FC579F">
        <w:rPr>
          <w:rFonts w:ascii="Times New Roman" w:hAnsi="Times New Roman" w:cs="Times New Roman"/>
        </w:rPr>
        <w:t xml:space="preserve">ICE, </w:t>
      </w:r>
      <w:r>
        <w:rPr>
          <w:rFonts w:ascii="Times New Roman" w:hAnsi="Times New Roman" w:cs="Times New Roman"/>
        </w:rPr>
        <w:t>HSI</w:t>
      </w:r>
      <w:r w:rsidR="00A234DC">
        <w:rPr>
          <w:rFonts w:ascii="Times New Roman" w:hAnsi="Times New Roman" w:cs="Times New Roman"/>
        </w:rPr>
        <w:t xml:space="preserve"> and Customs and Border Protection</w:t>
      </w:r>
      <w:r w:rsidR="00C84F24">
        <w:rPr>
          <w:rFonts w:ascii="Times New Roman" w:hAnsi="Times New Roman" w:cs="Times New Roman"/>
        </w:rPr>
        <w:t xml:space="preserve"> (</w:t>
      </w:r>
      <w:r w:rsidR="0064727F">
        <w:rPr>
          <w:rFonts w:ascii="Times New Roman" w:hAnsi="Times New Roman" w:cs="Times New Roman"/>
        </w:rPr>
        <w:t>“</w:t>
      </w:r>
      <w:r w:rsidR="00C84F24">
        <w:rPr>
          <w:rFonts w:ascii="Times New Roman" w:hAnsi="Times New Roman" w:cs="Times New Roman"/>
        </w:rPr>
        <w:t>CBP</w:t>
      </w:r>
      <w:r w:rsidR="0064727F">
        <w:rPr>
          <w:rFonts w:ascii="Times New Roman" w:hAnsi="Times New Roman" w:cs="Times New Roman"/>
        </w:rPr>
        <w:t>”</w:t>
      </w:r>
      <w:r w:rsidR="00C84F24">
        <w:rPr>
          <w:rFonts w:ascii="Times New Roman" w:hAnsi="Times New Roman" w:cs="Times New Roman"/>
        </w:rPr>
        <w:t>)</w:t>
      </w:r>
      <w:r w:rsidR="00867E2E" w:rsidRPr="009811ED">
        <w:rPr>
          <w:rFonts w:ascii="Times New Roman" w:hAnsi="Times New Roman" w:cs="Times New Roman"/>
        </w:rPr>
        <w:t>, the Department of Justice (“DOJ”), the</w:t>
      </w:r>
      <w:r w:rsidR="00285D02">
        <w:rPr>
          <w:rFonts w:ascii="Times New Roman" w:hAnsi="Times New Roman" w:cs="Times New Roman"/>
        </w:rPr>
        <w:t xml:space="preserve"> USAO</w:t>
      </w:r>
      <w:r w:rsidR="00867E2E" w:rsidRPr="009811ED">
        <w:rPr>
          <w:rFonts w:ascii="Times New Roman" w:hAnsi="Times New Roman" w:cs="Times New Roman"/>
        </w:rPr>
        <w:t xml:space="preserve">, </w:t>
      </w:r>
      <w:r w:rsidR="006A1A1F">
        <w:rPr>
          <w:rFonts w:ascii="Times New Roman" w:hAnsi="Times New Roman" w:cs="Times New Roman"/>
        </w:rPr>
        <w:t>and/</w:t>
      </w:r>
      <w:r w:rsidR="00867E2E" w:rsidRPr="009811ED">
        <w:rPr>
          <w:rFonts w:ascii="Times New Roman" w:hAnsi="Times New Roman" w:cs="Times New Roman"/>
        </w:rPr>
        <w:t>or any agents</w:t>
      </w:r>
      <w:r w:rsidR="00986A5A">
        <w:rPr>
          <w:rFonts w:ascii="Times New Roman" w:hAnsi="Times New Roman" w:cs="Times New Roman"/>
        </w:rPr>
        <w:t>, officers,</w:t>
      </w:r>
      <w:r w:rsidR="00867E2E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contractors, </w:t>
      </w:r>
      <w:r w:rsidR="00867E2E" w:rsidRPr="009811ED">
        <w:rPr>
          <w:rFonts w:ascii="Times New Roman" w:hAnsi="Times New Roman" w:cs="Times New Roman"/>
        </w:rPr>
        <w:t>and employees of the USA,</w:t>
      </w:r>
      <w:r w:rsidR="00A234DC">
        <w:rPr>
          <w:rFonts w:ascii="Times New Roman" w:hAnsi="Times New Roman" w:cs="Times New Roman"/>
        </w:rPr>
        <w:t xml:space="preserve"> the DHS,</w:t>
      </w:r>
      <w:r w:rsidR="00867E2E" w:rsidRPr="009811ED">
        <w:rPr>
          <w:rFonts w:ascii="Times New Roman" w:hAnsi="Times New Roman" w:cs="Times New Roman"/>
        </w:rPr>
        <w:t xml:space="preserve"> </w:t>
      </w:r>
      <w:r w:rsidR="00C67F3F">
        <w:rPr>
          <w:rFonts w:ascii="Times New Roman" w:hAnsi="Times New Roman" w:cs="Times New Roman"/>
        </w:rPr>
        <w:t xml:space="preserve">ICE, </w:t>
      </w:r>
      <w:r>
        <w:rPr>
          <w:rFonts w:ascii="Times New Roman" w:hAnsi="Times New Roman" w:cs="Times New Roman"/>
        </w:rPr>
        <w:t>HSI</w:t>
      </w:r>
      <w:r w:rsidR="00867E2E" w:rsidRPr="009811ED">
        <w:rPr>
          <w:rFonts w:ascii="Times New Roman" w:hAnsi="Times New Roman" w:cs="Times New Roman"/>
        </w:rPr>
        <w:t>,</w:t>
      </w:r>
      <w:r w:rsidR="00A234DC">
        <w:rPr>
          <w:rFonts w:ascii="Times New Roman" w:hAnsi="Times New Roman" w:cs="Times New Roman"/>
        </w:rPr>
        <w:t xml:space="preserve"> CBP,</w:t>
      </w:r>
      <w:r w:rsidR="00867E2E" w:rsidRPr="009811ED">
        <w:rPr>
          <w:rFonts w:ascii="Times New Roman" w:hAnsi="Times New Roman" w:cs="Times New Roman"/>
        </w:rPr>
        <w:t xml:space="preserve"> the DOJ, or the USAO, in connection with or arising out of the seizure, restraint, </w:t>
      </w:r>
      <w:r w:rsidR="0064727F">
        <w:rPr>
          <w:rFonts w:ascii="Times New Roman" w:hAnsi="Times New Roman" w:cs="Times New Roman"/>
        </w:rPr>
        <w:t xml:space="preserve">possession </w:t>
      </w:r>
      <w:r w:rsidR="00867E2E" w:rsidRPr="009811ED">
        <w:rPr>
          <w:rFonts w:ascii="Times New Roman" w:hAnsi="Times New Roman" w:cs="Times New Roman"/>
        </w:rPr>
        <w:t xml:space="preserve">and/or constructive </w:t>
      </w:r>
      <w:r w:rsidR="00867E2E" w:rsidRPr="009811ED">
        <w:rPr>
          <w:rFonts w:ascii="Times New Roman" w:hAnsi="Times New Roman" w:cs="Times New Roman"/>
        </w:rPr>
        <w:lastRenderedPageBreak/>
        <w:t xml:space="preserve">possession </w:t>
      </w:r>
      <w:r w:rsidR="00986A5A">
        <w:rPr>
          <w:rFonts w:ascii="Times New Roman" w:hAnsi="Times New Roman" w:cs="Times New Roman"/>
        </w:rPr>
        <w:t xml:space="preserve">and/or </w:t>
      </w:r>
      <w:r w:rsidR="00867E2E" w:rsidRPr="009811ED">
        <w:rPr>
          <w:rFonts w:ascii="Times New Roman" w:hAnsi="Times New Roman" w:cs="Times New Roman"/>
        </w:rPr>
        <w:t xml:space="preserve">transfer of the </w:t>
      </w:r>
      <w:r>
        <w:rPr>
          <w:rFonts w:ascii="Times New Roman" w:hAnsi="Times New Roman" w:cs="Times New Roman"/>
        </w:rPr>
        <w:t>Painting</w:t>
      </w:r>
      <w:r w:rsidR="0064727F">
        <w:rPr>
          <w:rFonts w:ascii="Times New Roman" w:hAnsi="Times New Roman" w:cs="Times New Roman"/>
        </w:rPr>
        <w:t xml:space="preserve"> and frame</w:t>
      </w:r>
      <w:r w:rsidR="00867E2E" w:rsidRPr="009811ED">
        <w:rPr>
          <w:rFonts w:ascii="Times New Roman" w:hAnsi="Times New Roman" w:cs="Times New Roman"/>
        </w:rPr>
        <w:t xml:space="preserve">, or </w:t>
      </w:r>
      <w:r w:rsidR="00986A5A">
        <w:rPr>
          <w:rFonts w:ascii="Times New Roman" w:hAnsi="Times New Roman" w:cs="Times New Roman"/>
        </w:rPr>
        <w:t xml:space="preserve">out of </w:t>
      </w:r>
      <w:r w:rsidR="00867E2E" w:rsidRPr="009811ED">
        <w:rPr>
          <w:rFonts w:ascii="Times New Roman" w:hAnsi="Times New Roman" w:cs="Times New Roman"/>
        </w:rPr>
        <w:t xml:space="preserve">the transfer of the </w:t>
      </w:r>
      <w:r>
        <w:rPr>
          <w:rFonts w:ascii="Times New Roman" w:hAnsi="Times New Roman" w:cs="Times New Roman"/>
        </w:rPr>
        <w:t>Painting</w:t>
      </w:r>
      <w:r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and frame </w:t>
      </w:r>
      <w:r w:rsidR="00B66E15" w:rsidRPr="009811ED">
        <w:rPr>
          <w:rFonts w:ascii="Times New Roman" w:hAnsi="Times New Roman" w:cs="Times New Roman"/>
        </w:rPr>
        <w:t>to the Republic of Poland</w:t>
      </w:r>
      <w:r w:rsidR="0064727F">
        <w:rPr>
          <w:rFonts w:ascii="Times New Roman" w:hAnsi="Times New Roman" w:cs="Times New Roman"/>
        </w:rPr>
        <w:t xml:space="preserve"> and/or the Museum</w:t>
      </w:r>
      <w:r w:rsidR="00867E2E" w:rsidRPr="009811ED">
        <w:rPr>
          <w:rFonts w:ascii="Times New Roman" w:hAnsi="Times New Roman" w:cs="Times New Roman"/>
        </w:rPr>
        <w:t xml:space="preserve">, including, but not limited to, any claim that </w:t>
      </w:r>
      <w:r>
        <w:rPr>
          <w:rFonts w:ascii="Times New Roman" w:hAnsi="Times New Roman" w:cs="Times New Roman"/>
        </w:rPr>
        <w:t>Gilmore</w:t>
      </w:r>
      <w:r w:rsidR="00B66E15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or Crocker are </w:t>
      </w:r>
      <w:r w:rsidR="00867E2E" w:rsidRPr="009811ED">
        <w:rPr>
          <w:rFonts w:ascii="Times New Roman" w:hAnsi="Times New Roman" w:cs="Times New Roman"/>
        </w:rPr>
        <w:t>prevailing part</w:t>
      </w:r>
      <w:r w:rsidR="0064727F">
        <w:rPr>
          <w:rFonts w:ascii="Times New Roman" w:hAnsi="Times New Roman" w:cs="Times New Roman"/>
        </w:rPr>
        <w:t>ies</w:t>
      </w:r>
      <w:r w:rsidR="00867E2E" w:rsidRPr="009811ED">
        <w:rPr>
          <w:rFonts w:ascii="Times New Roman" w:hAnsi="Times New Roman" w:cs="Times New Roman"/>
        </w:rPr>
        <w:t xml:space="preserve">, or that </w:t>
      </w:r>
      <w:r>
        <w:rPr>
          <w:rFonts w:ascii="Times New Roman" w:hAnsi="Times New Roman" w:cs="Times New Roman"/>
        </w:rPr>
        <w:t>Gilmore</w:t>
      </w:r>
      <w:r w:rsidR="00B66E15" w:rsidRPr="009811ED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and Crocker are </w:t>
      </w:r>
      <w:r w:rsidR="00867E2E" w:rsidRPr="009811ED">
        <w:rPr>
          <w:rFonts w:ascii="Times New Roman" w:hAnsi="Times New Roman" w:cs="Times New Roman"/>
        </w:rPr>
        <w:t>entitled to attorney’s fees or any award of interest</w:t>
      </w:r>
      <w:r w:rsidR="006A1A1F">
        <w:rPr>
          <w:rFonts w:ascii="Times New Roman" w:hAnsi="Times New Roman" w:cs="Times New Roman"/>
        </w:rPr>
        <w:t xml:space="preserve"> or any other costs</w:t>
      </w:r>
      <w:r w:rsidR="00867E2E" w:rsidRPr="009811ED">
        <w:rPr>
          <w:rFonts w:ascii="Times New Roman" w:hAnsi="Times New Roman" w:cs="Times New Roman"/>
        </w:rPr>
        <w:t xml:space="preserve">. </w:t>
      </w:r>
    </w:p>
    <w:p w:rsidR="00867E2E" w:rsidRPr="009811ED" w:rsidRDefault="00867E2E" w:rsidP="00867E2E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This Stipulation and Order shall in no way be deemed an admission of culpability, liability, or guilt on behalf of </w:t>
      </w:r>
      <w:r w:rsidR="005D71D1">
        <w:rPr>
          <w:rFonts w:ascii="Times New Roman" w:hAnsi="Times New Roman" w:cs="Times New Roman"/>
        </w:rPr>
        <w:t>Gilmore</w:t>
      </w:r>
      <w:r w:rsidR="0064727F">
        <w:rPr>
          <w:rFonts w:ascii="Times New Roman" w:hAnsi="Times New Roman" w:cs="Times New Roman"/>
        </w:rPr>
        <w:t xml:space="preserve"> or Crocker</w:t>
      </w:r>
      <w:r w:rsidRPr="009811ED">
        <w:rPr>
          <w:rFonts w:ascii="Times New Roman" w:hAnsi="Times New Roman" w:cs="Times New Roman"/>
        </w:rPr>
        <w:t>.</w:t>
      </w:r>
    </w:p>
    <w:p w:rsidR="00F3491C" w:rsidRPr="00273C5A" w:rsidRDefault="005D71D1" w:rsidP="00F3491C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  <w:b/>
          <w:bCs/>
          <w:i/>
          <w:iCs/>
        </w:rPr>
      </w:pPr>
      <w:r w:rsidRPr="00F3491C">
        <w:rPr>
          <w:rFonts w:ascii="Times New Roman" w:hAnsi="Times New Roman" w:cs="Times New Roman"/>
        </w:rPr>
        <w:t>Gilmore</w:t>
      </w:r>
      <w:r w:rsidR="00434810" w:rsidRPr="00F3491C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 xml:space="preserve">and Crocker, individually and jointly, </w:t>
      </w:r>
      <w:r w:rsidR="00867E2E" w:rsidRPr="00F3491C">
        <w:rPr>
          <w:rFonts w:ascii="Times New Roman" w:hAnsi="Times New Roman" w:cs="Times New Roman"/>
        </w:rPr>
        <w:t xml:space="preserve">represents that </w:t>
      </w:r>
      <w:r w:rsidR="0064727F">
        <w:rPr>
          <w:rFonts w:ascii="Times New Roman" w:hAnsi="Times New Roman" w:cs="Times New Roman"/>
        </w:rPr>
        <w:t xml:space="preserve">they are </w:t>
      </w:r>
      <w:r w:rsidR="00434810" w:rsidRPr="00F3491C">
        <w:rPr>
          <w:rFonts w:ascii="Times New Roman" w:hAnsi="Times New Roman" w:cs="Times New Roman"/>
        </w:rPr>
        <w:t xml:space="preserve">the only </w:t>
      </w:r>
      <w:r w:rsidR="00666C5F" w:rsidRPr="00F3491C">
        <w:rPr>
          <w:rFonts w:ascii="Times New Roman" w:hAnsi="Times New Roman" w:cs="Times New Roman"/>
        </w:rPr>
        <w:t>person</w:t>
      </w:r>
      <w:r w:rsidR="0064727F">
        <w:rPr>
          <w:rFonts w:ascii="Times New Roman" w:hAnsi="Times New Roman" w:cs="Times New Roman"/>
        </w:rPr>
        <w:t>s</w:t>
      </w:r>
      <w:r w:rsidR="00666C5F" w:rsidRPr="00F3491C">
        <w:rPr>
          <w:rFonts w:ascii="Times New Roman" w:hAnsi="Times New Roman" w:cs="Times New Roman"/>
        </w:rPr>
        <w:t xml:space="preserve">, aside from the </w:t>
      </w:r>
      <w:r w:rsidR="00285D02" w:rsidRPr="00F3491C">
        <w:rPr>
          <w:rFonts w:ascii="Times New Roman" w:hAnsi="Times New Roman" w:cs="Times New Roman"/>
        </w:rPr>
        <w:t xml:space="preserve">Museum or the </w:t>
      </w:r>
      <w:r w:rsidR="00666C5F" w:rsidRPr="00F3491C">
        <w:rPr>
          <w:rFonts w:ascii="Times New Roman" w:hAnsi="Times New Roman" w:cs="Times New Roman"/>
        </w:rPr>
        <w:t>Republic of Poland, with any potential ownership interest</w:t>
      </w:r>
      <w:r w:rsidR="00434810" w:rsidRPr="00F3491C">
        <w:rPr>
          <w:rFonts w:ascii="Times New Roman" w:hAnsi="Times New Roman" w:cs="Times New Roman"/>
        </w:rPr>
        <w:t xml:space="preserve"> </w:t>
      </w:r>
      <w:r w:rsidR="0064727F">
        <w:rPr>
          <w:rFonts w:ascii="Times New Roman" w:hAnsi="Times New Roman" w:cs="Times New Roman"/>
        </w:rPr>
        <w:t>in</w:t>
      </w:r>
      <w:r w:rsidR="00867E2E" w:rsidRPr="00F3491C">
        <w:rPr>
          <w:rFonts w:ascii="Times New Roman" w:hAnsi="Times New Roman" w:cs="Times New Roman"/>
        </w:rPr>
        <w:t xml:space="preserve"> the </w:t>
      </w:r>
      <w:r w:rsidRPr="00F3491C">
        <w:rPr>
          <w:rFonts w:ascii="Times New Roman" w:hAnsi="Times New Roman" w:cs="Times New Roman"/>
        </w:rPr>
        <w:t>Painting</w:t>
      </w:r>
      <w:r w:rsidR="0064727F">
        <w:rPr>
          <w:rFonts w:ascii="Times New Roman" w:hAnsi="Times New Roman" w:cs="Times New Roman"/>
        </w:rPr>
        <w:t xml:space="preserve"> and frame</w:t>
      </w:r>
      <w:r w:rsidR="00434810" w:rsidRPr="00F3491C">
        <w:rPr>
          <w:rFonts w:ascii="Times New Roman" w:hAnsi="Times New Roman" w:cs="Times New Roman"/>
        </w:rPr>
        <w:t xml:space="preserve">, </w:t>
      </w:r>
      <w:r w:rsidR="00867E2E" w:rsidRPr="00F3491C">
        <w:rPr>
          <w:rFonts w:ascii="Times New Roman" w:hAnsi="Times New Roman" w:cs="Times New Roman"/>
        </w:rPr>
        <w:t>and agree to</w:t>
      </w:r>
      <w:r w:rsidR="00A234DC" w:rsidRPr="00F3491C">
        <w:rPr>
          <w:rFonts w:ascii="Times New Roman" w:hAnsi="Times New Roman" w:cs="Times New Roman"/>
        </w:rPr>
        <w:t xml:space="preserve"> release, indemnify</w:t>
      </w:r>
      <w:r w:rsidR="00C84F24" w:rsidRPr="00AB6B31">
        <w:rPr>
          <w:rFonts w:ascii="Times New Roman" w:hAnsi="Times New Roman" w:cs="Times New Roman"/>
        </w:rPr>
        <w:t>,</w:t>
      </w:r>
      <w:r w:rsidR="00A234DC" w:rsidRPr="00AB6B31">
        <w:rPr>
          <w:rFonts w:ascii="Times New Roman" w:hAnsi="Times New Roman" w:cs="Times New Roman"/>
        </w:rPr>
        <w:t xml:space="preserve"> and</w:t>
      </w:r>
      <w:r w:rsidR="00867E2E" w:rsidRPr="00AB6B31">
        <w:rPr>
          <w:rFonts w:ascii="Times New Roman" w:hAnsi="Times New Roman" w:cs="Times New Roman"/>
        </w:rPr>
        <w:t xml:space="preserve"> hold harmless the USA,</w:t>
      </w:r>
      <w:r w:rsidR="00A234DC" w:rsidRPr="00AB6B31">
        <w:rPr>
          <w:rFonts w:ascii="Times New Roman" w:hAnsi="Times New Roman" w:cs="Times New Roman"/>
        </w:rPr>
        <w:t xml:space="preserve"> the DHS,</w:t>
      </w:r>
      <w:r w:rsidR="00867E2E" w:rsidRPr="00F3491C">
        <w:rPr>
          <w:rFonts w:ascii="Times New Roman" w:hAnsi="Times New Roman" w:cs="Times New Roman"/>
        </w:rPr>
        <w:t xml:space="preserve"> </w:t>
      </w:r>
      <w:r w:rsidR="00C67F3F" w:rsidRPr="00F3491C">
        <w:rPr>
          <w:rFonts w:ascii="Times New Roman" w:hAnsi="Times New Roman" w:cs="Times New Roman"/>
        </w:rPr>
        <w:t xml:space="preserve">ICE, </w:t>
      </w:r>
      <w:r w:rsidRPr="00F3491C">
        <w:rPr>
          <w:rFonts w:ascii="Times New Roman" w:hAnsi="Times New Roman" w:cs="Times New Roman"/>
        </w:rPr>
        <w:t>HSI</w:t>
      </w:r>
      <w:r w:rsidR="00867E2E" w:rsidRPr="00F3491C">
        <w:rPr>
          <w:rFonts w:ascii="Times New Roman" w:hAnsi="Times New Roman" w:cs="Times New Roman"/>
        </w:rPr>
        <w:t>,</w:t>
      </w:r>
      <w:r w:rsidR="00A234DC" w:rsidRPr="00F3491C">
        <w:rPr>
          <w:rFonts w:ascii="Times New Roman" w:hAnsi="Times New Roman" w:cs="Times New Roman"/>
        </w:rPr>
        <w:t xml:space="preserve"> CBP,</w:t>
      </w:r>
      <w:r w:rsidR="00867E2E" w:rsidRPr="00F3491C">
        <w:rPr>
          <w:rFonts w:ascii="Times New Roman" w:hAnsi="Times New Roman" w:cs="Times New Roman"/>
        </w:rPr>
        <w:t xml:space="preserve"> the DOJ and the USAO, as well as any and all employees, officers, </w:t>
      </w:r>
      <w:r w:rsidR="0064727F">
        <w:rPr>
          <w:rFonts w:ascii="Times New Roman" w:hAnsi="Times New Roman" w:cs="Times New Roman"/>
        </w:rPr>
        <w:t xml:space="preserve">contractors, </w:t>
      </w:r>
      <w:r w:rsidR="00867E2E" w:rsidRPr="00F3491C">
        <w:rPr>
          <w:rFonts w:ascii="Times New Roman" w:hAnsi="Times New Roman" w:cs="Times New Roman"/>
        </w:rPr>
        <w:t>and agents</w:t>
      </w:r>
      <w:r w:rsidR="00A234DC" w:rsidRPr="00F3491C">
        <w:rPr>
          <w:rFonts w:ascii="Times New Roman" w:hAnsi="Times New Roman" w:cs="Times New Roman"/>
        </w:rPr>
        <w:t>, past and present,</w:t>
      </w:r>
      <w:r w:rsidR="00867E2E" w:rsidRPr="00F3491C">
        <w:rPr>
          <w:rFonts w:ascii="Times New Roman" w:hAnsi="Times New Roman" w:cs="Times New Roman"/>
        </w:rPr>
        <w:t xml:space="preserve"> of the USA,</w:t>
      </w:r>
      <w:r w:rsidR="00A234DC" w:rsidRPr="00F3491C">
        <w:rPr>
          <w:rFonts w:ascii="Times New Roman" w:hAnsi="Times New Roman" w:cs="Times New Roman"/>
        </w:rPr>
        <w:t xml:space="preserve"> the DHS,</w:t>
      </w:r>
      <w:r w:rsidR="00867E2E" w:rsidRPr="00F3491C">
        <w:rPr>
          <w:rFonts w:ascii="Times New Roman" w:hAnsi="Times New Roman" w:cs="Times New Roman"/>
        </w:rPr>
        <w:t xml:space="preserve"> </w:t>
      </w:r>
      <w:r w:rsidR="00FC579F" w:rsidRPr="00F3491C">
        <w:rPr>
          <w:rFonts w:ascii="Times New Roman" w:hAnsi="Times New Roman" w:cs="Times New Roman"/>
        </w:rPr>
        <w:t xml:space="preserve">ICE, </w:t>
      </w:r>
      <w:r w:rsidRPr="00F3491C">
        <w:rPr>
          <w:rFonts w:ascii="Times New Roman" w:hAnsi="Times New Roman" w:cs="Times New Roman"/>
        </w:rPr>
        <w:t>HSI</w:t>
      </w:r>
      <w:r w:rsidR="00867E2E" w:rsidRPr="00F3491C">
        <w:rPr>
          <w:rFonts w:ascii="Times New Roman" w:hAnsi="Times New Roman" w:cs="Times New Roman"/>
        </w:rPr>
        <w:t xml:space="preserve">, </w:t>
      </w:r>
      <w:r w:rsidR="00A234DC" w:rsidRPr="00F3491C">
        <w:rPr>
          <w:rFonts w:ascii="Times New Roman" w:hAnsi="Times New Roman" w:cs="Times New Roman"/>
        </w:rPr>
        <w:t xml:space="preserve">CBP, </w:t>
      </w:r>
      <w:r w:rsidR="00867E2E" w:rsidRPr="00F3491C">
        <w:rPr>
          <w:rFonts w:ascii="Times New Roman" w:hAnsi="Times New Roman" w:cs="Times New Roman"/>
        </w:rPr>
        <w:t>the DOJ and the USAO, from any and all claims</w:t>
      </w:r>
      <w:r w:rsidR="0064727F">
        <w:rPr>
          <w:rFonts w:ascii="Times New Roman" w:hAnsi="Times New Roman" w:cs="Times New Roman"/>
        </w:rPr>
        <w:t xml:space="preserve"> </w:t>
      </w:r>
      <w:r w:rsidR="00867E2E" w:rsidRPr="00F3491C">
        <w:rPr>
          <w:rFonts w:ascii="Times New Roman" w:hAnsi="Times New Roman" w:cs="Times New Roman"/>
        </w:rPr>
        <w:t xml:space="preserve">in connection with or arising out of the </w:t>
      </w:r>
      <w:r w:rsidR="00A234DC" w:rsidRPr="00F3491C">
        <w:rPr>
          <w:rFonts w:ascii="Times New Roman" w:hAnsi="Times New Roman" w:cs="Times New Roman"/>
        </w:rPr>
        <w:t xml:space="preserve">detention, </w:t>
      </w:r>
      <w:r w:rsidR="00867E2E" w:rsidRPr="00F3491C">
        <w:rPr>
          <w:rFonts w:ascii="Times New Roman" w:hAnsi="Times New Roman" w:cs="Times New Roman"/>
        </w:rPr>
        <w:t xml:space="preserve">seizure, restraint, </w:t>
      </w:r>
      <w:r w:rsidR="0064727F">
        <w:rPr>
          <w:rFonts w:ascii="Times New Roman" w:hAnsi="Times New Roman" w:cs="Times New Roman"/>
        </w:rPr>
        <w:t xml:space="preserve">possession </w:t>
      </w:r>
      <w:r w:rsidR="00867E2E" w:rsidRPr="00F3491C">
        <w:rPr>
          <w:rFonts w:ascii="Times New Roman" w:hAnsi="Times New Roman" w:cs="Times New Roman"/>
        </w:rPr>
        <w:t xml:space="preserve">and/or constructive possession </w:t>
      </w:r>
      <w:r w:rsidR="00986A5A" w:rsidRPr="00F3491C">
        <w:rPr>
          <w:rFonts w:ascii="Times New Roman" w:hAnsi="Times New Roman" w:cs="Times New Roman"/>
        </w:rPr>
        <w:t xml:space="preserve">and transfer </w:t>
      </w:r>
      <w:r w:rsidR="00867E2E" w:rsidRPr="00F3491C">
        <w:rPr>
          <w:rFonts w:ascii="Times New Roman" w:hAnsi="Times New Roman" w:cs="Times New Roman"/>
        </w:rPr>
        <w:t xml:space="preserve">of the </w:t>
      </w:r>
      <w:r w:rsidRPr="00F3491C">
        <w:rPr>
          <w:rFonts w:ascii="Times New Roman" w:hAnsi="Times New Roman" w:cs="Times New Roman"/>
        </w:rPr>
        <w:t>Painting</w:t>
      </w:r>
      <w:r w:rsidR="0064727F">
        <w:rPr>
          <w:rFonts w:ascii="Times New Roman" w:hAnsi="Times New Roman" w:cs="Times New Roman"/>
        </w:rPr>
        <w:t xml:space="preserve"> and frame</w:t>
      </w:r>
      <w:r w:rsidR="00867E2E" w:rsidRPr="00F3491C">
        <w:rPr>
          <w:rFonts w:ascii="Times New Roman" w:hAnsi="Times New Roman" w:cs="Times New Roman"/>
        </w:rPr>
        <w:t xml:space="preserve">, or </w:t>
      </w:r>
      <w:r w:rsidR="00986A5A" w:rsidRPr="00F3491C">
        <w:rPr>
          <w:rFonts w:ascii="Times New Roman" w:hAnsi="Times New Roman" w:cs="Times New Roman"/>
        </w:rPr>
        <w:t xml:space="preserve">out of </w:t>
      </w:r>
      <w:r w:rsidR="00867E2E" w:rsidRPr="00F3491C">
        <w:rPr>
          <w:rFonts w:ascii="Times New Roman" w:hAnsi="Times New Roman" w:cs="Times New Roman"/>
        </w:rPr>
        <w:t xml:space="preserve">the transfer of the </w:t>
      </w:r>
      <w:r w:rsidRPr="00F3491C">
        <w:rPr>
          <w:rFonts w:ascii="Times New Roman" w:hAnsi="Times New Roman" w:cs="Times New Roman"/>
        </w:rPr>
        <w:t xml:space="preserve">Painting </w:t>
      </w:r>
      <w:r w:rsidR="0064727F">
        <w:rPr>
          <w:rFonts w:ascii="Times New Roman" w:hAnsi="Times New Roman" w:cs="Times New Roman"/>
        </w:rPr>
        <w:t xml:space="preserve">and frame </w:t>
      </w:r>
      <w:r w:rsidR="00867E2E" w:rsidRPr="00F3491C">
        <w:rPr>
          <w:rFonts w:ascii="Times New Roman" w:hAnsi="Times New Roman" w:cs="Times New Roman"/>
        </w:rPr>
        <w:t xml:space="preserve">to </w:t>
      </w:r>
      <w:r w:rsidR="00434810" w:rsidRPr="00F3491C">
        <w:rPr>
          <w:rFonts w:ascii="Times New Roman" w:hAnsi="Times New Roman" w:cs="Times New Roman"/>
        </w:rPr>
        <w:t>the Republic of Poland</w:t>
      </w:r>
      <w:r w:rsidR="00867E2E" w:rsidRPr="00F3491C">
        <w:rPr>
          <w:rFonts w:ascii="Times New Roman" w:hAnsi="Times New Roman" w:cs="Times New Roman"/>
        </w:rPr>
        <w:t>, including</w:t>
      </w:r>
      <w:r w:rsidR="0064727F">
        <w:rPr>
          <w:rFonts w:ascii="Times New Roman" w:hAnsi="Times New Roman" w:cs="Times New Roman"/>
        </w:rPr>
        <w:t>,</w:t>
      </w:r>
      <w:r w:rsidR="00867E2E" w:rsidRPr="00F3491C">
        <w:rPr>
          <w:rFonts w:ascii="Times New Roman" w:hAnsi="Times New Roman" w:cs="Times New Roman"/>
        </w:rPr>
        <w:t xml:space="preserve"> but not limited to</w:t>
      </w:r>
      <w:r w:rsidR="0064727F">
        <w:rPr>
          <w:rFonts w:ascii="Times New Roman" w:hAnsi="Times New Roman" w:cs="Times New Roman"/>
        </w:rPr>
        <w:t>,</w:t>
      </w:r>
      <w:r w:rsidR="00867E2E" w:rsidRPr="00F3491C">
        <w:rPr>
          <w:rFonts w:ascii="Times New Roman" w:hAnsi="Times New Roman" w:cs="Times New Roman"/>
        </w:rPr>
        <w:t xml:space="preserve"> any third-party claims of ownership of the </w:t>
      </w:r>
      <w:r w:rsidRPr="00F3491C">
        <w:rPr>
          <w:rFonts w:ascii="Times New Roman" w:hAnsi="Times New Roman" w:cs="Times New Roman"/>
        </w:rPr>
        <w:t xml:space="preserve">Painting </w:t>
      </w:r>
      <w:r w:rsidR="0064727F">
        <w:rPr>
          <w:rFonts w:ascii="Times New Roman" w:hAnsi="Times New Roman" w:cs="Times New Roman"/>
        </w:rPr>
        <w:t xml:space="preserve">and frame </w:t>
      </w:r>
      <w:r w:rsidR="00666C5F" w:rsidRPr="00F3491C">
        <w:rPr>
          <w:rFonts w:ascii="Times New Roman" w:hAnsi="Times New Roman" w:cs="Times New Roman"/>
        </w:rPr>
        <w:t>by any part</w:t>
      </w:r>
      <w:r w:rsidR="00285D02" w:rsidRPr="00F3491C">
        <w:rPr>
          <w:rFonts w:ascii="Times New Roman" w:hAnsi="Times New Roman" w:cs="Times New Roman"/>
        </w:rPr>
        <w:t>y</w:t>
      </w:r>
      <w:r w:rsidR="00666C5F" w:rsidRPr="00F3491C">
        <w:rPr>
          <w:rFonts w:ascii="Times New Roman" w:hAnsi="Times New Roman" w:cs="Times New Roman"/>
        </w:rPr>
        <w:t xml:space="preserve"> other than the Republic of Poland</w:t>
      </w:r>
      <w:r w:rsidR="00867E2E" w:rsidRPr="00F3491C">
        <w:rPr>
          <w:rFonts w:ascii="Times New Roman" w:hAnsi="Times New Roman" w:cs="Times New Roman"/>
        </w:rPr>
        <w:t>.</w:t>
      </w:r>
      <w:r w:rsidR="00FC579F" w:rsidRPr="00273C5A">
        <w:rPr>
          <w:rFonts w:ascii="Times New Roman" w:hAnsi="Times New Roman" w:cs="Times New Roman"/>
          <w:b/>
          <w:i/>
        </w:rPr>
        <w:t xml:space="preserve">  </w:t>
      </w:r>
    </w:p>
    <w:p w:rsidR="00867E2E" w:rsidRPr="00F3491C" w:rsidRDefault="00867E2E" w:rsidP="00273C5A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F3491C">
        <w:rPr>
          <w:rFonts w:ascii="Times New Roman" w:hAnsi="Times New Roman" w:cs="Times New Roman"/>
        </w:rPr>
        <w:t>Each party to this Stipulation and Order shall bear its own legal and other costs incurred in connection with th</w:t>
      </w:r>
      <w:r w:rsidR="005E443D">
        <w:rPr>
          <w:rFonts w:ascii="Times New Roman" w:hAnsi="Times New Roman" w:cs="Times New Roman"/>
        </w:rPr>
        <w:t>e instant</w:t>
      </w:r>
      <w:r w:rsidRPr="00F3491C">
        <w:rPr>
          <w:rFonts w:ascii="Times New Roman" w:hAnsi="Times New Roman" w:cs="Times New Roman"/>
        </w:rPr>
        <w:t xml:space="preserve"> matter</w:t>
      </w:r>
      <w:r w:rsidR="0064727F">
        <w:rPr>
          <w:rFonts w:ascii="Times New Roman" w:hAnsi="Times New Roman" w:cs="Times New Roman"/>
        </w:rPr>
        <w:t xml:space="preserve"> or any related matter</w:t>
      </w:r>
      <w:r w:rsidRPr="00F3491C">
        <w:rPr>
          <w:rFonts w:ascii="Times New Roman" w:hAnsi="Times New Roman" w:cs="Times New Roman"/>
        </w:rPr>
        <w:t>.</w:t>
      </w:r>
    </w:p>
    <w:p w:rsidR="00867E2E" w:rsidRPr="009811ED" w:rsidRDefault="00867E2E" w:rsidP="00867E2E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This Stipulation and Order represents the complete agreement of all the parties signing this Stipulation and Order and cannot be amended with the express written consent of all the parties.</w:t>
      </w:r>
    </w:p>
    <w:p w:rsidR="00285D02" w:rsidRPr="00273C5A" w:rsidRDefault="00867E2E" w:rsidP="00273C5A">
      <w:pPr>
        <w:pStyle w:val="ListParagraph"/>
        <w:numPr>
          <w:ilvl w:val="0"/>
          <w:numId w:val="4"/>
        </w:numPr>
        <w:spacing w:line="480" w:lineRule="auto"/>
        <w:ind w:left="0" w:firstLine="1440"/>
        <w:rPr>
          <w:rFonts w:ascii="Times New Roman" w:hAnsi="Times New Roman" w:cs="Times New Roman"/>
        </w:rPr>
      </w:pPr>
      <w:r w:rsidRPr="0064727F">
        <w:rPr>
          <w:rFonts w:ascii="Times New Roman" w:hAnsi="Times New Roman" w:cs="Times New Roman"/>
        </w:rPr>
        <w:t xml:space="preserve">The signature page of this Stipulation and Order may be executed in one </w:t>
      </w:r>
      <w:r w:rsidRPr="0064727F">
        <w:rPr>
          <w:rFonts w:ascii="Times New Roman" w:hAnsi="Times New Roman" w:cs="Times New Roman"/>
        </w:rPr>
        <w:lastRenderedPageBreak/>
        <w:t>or more counterparts, each of which will be deemed an original</w:t>
      </w:r>
      <w:r w:rsidR="005D71D1" w:rsidRPr="0064727F">
        <w:rPr>
          <w:rFonts w:ascii="Times New Roman" w:hAnsi="Times New Roman" w:cs="Times New Roman"/>
        </w:rPr>
        <w:t xml:space="preserve"> but all of which together will </w:t>
      </w:r>
    </w:p>
    <w:p w:rsidR="00867E2E" w:rsidRPr="00F3491C" w:rsidRDefault="00867E2E" w:rsidP="0064727F">
      <w:pPr>
        <w:spacing w:line="480" w:lineRule="auto"/>
        <w:rPr>
          <w:rFonts w:ascii="Times New Roman" w:hAnsi="Times New Roman" w:cs="Times New Roman"/>
        </w:rPr>
      </w:pPr>
      <w:r w:rsidRPr="00F3491C">
        <w:rPr>
          <w:rFonts w:ascii="Times New Roman" w:hAnsi="Times New Roman" w:cs="Times New Roman"/>
        </w:rPr>
        <w:t>constitute one and the same instrument.  Fax</w:t>
      </w:r>
      <w:r w:rsidR="0064727F">
        <w:rPr>
          <w:rFonts w:ascii="Times New Roman" w:hAnsi="Times New Roman" w:cs="Times New Roman"/>
        </w:rPr>
        <w:t>ed</w:t>
      </w:r>
      <w:r w:rsidRPr="00F3491C">
        <w:rPr>
          <w:rFonts w:ascii="Times New Roman" w:hAnsi="Times New Roman" w:cs="Times New Roman"/>
        </w:rPr>
        <w:t>, scanned and emailed copies shall be treated as originals.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Agreed and consented to: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PREET BHARARA                                     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United States Attorney for the 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Southern District of New York                        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</w:p>
    <w:p w:rsidR="00666C5F" w:rsidRPr="009811ED" w:rsidRDefault="00666C5F" w:rsidP="00867E2E">
      <w:pPr>
        <w:rPr>
          <w:rFonts w:ascii="Times New Roman" w:hAnsi="Times New Roman" w:cs="Times New Roman"/>
        </w:rPr>
      </w:pPr>
    </w:p>
    <w:p w:rsidR="00666C5F" w:rsidRPr="009811ED" w:rsidRDefault="00666C5F" w:rsidP="00867E2E">
      <w:pPr>
        <w:rPr>
          <w:rFonts w:ascii="Times New Roman" w:hAnsi="Times New Roman" w:cs="Times New Roman"/>
        </w:rPr>
      </w:pP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By:</w:t>
      </w:r>
      <w:r w:rsidRPr="009811ED">
        <w:rPr>
          <w:rFonts w:ascii="Times New Roman" w:hAnsi="Times New Roman" w:cs="Times New Roman"/>
        </w:rPr>
        <w:tab/>
        <w:t>_______________________________</w:t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  <w:t>_______________</w:t>
      </w:r>
    </w:p>
    <w:p w:rsidR="00867E2E" w:rsidRPr="009811ED" w:rsidRDefault="007B6AB5" w:rsidP="00867E2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GACHIRI</w:t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  <w:t>Date</w:t>
      </w:r>
    </w:p>
    <w:p w:rsidR="00867E2E" w:rsidRPr="009811ED" w:rsidRDefault="00867E2E" w:rsidP="00867E2E">
      <w:pPr>
        <w:tabs>
          <w:tab w:val="left" w:pos="4476"/>
        </w:tabs>
        <w:ind w:firstLine="72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Assistant United States Attorney</w:t>
      </w:r>
      <w:r w:rsidRPr="009811ED">
        <w:rPr>
          <w:rFonts w:ascii="Times New Roman" w:hAnsi="Times New Roman" w:cs="Times New Roman"/>
        </w:rPr>
        <w:tab/>
      </w:r>
    </w:p>
    <w:p w:rsidR="00867E2E" w:rsidRPr="009811ED" w:rsidRDefault="00434810" w:rsidP="00867E2E">
      <w:pPr>
        <w:ind w:firstLine="72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One St. Andrew’</w:t>
      </w:r>
      <w:r w:rsidR="00867E2E" w:rsidRPr="009811ED">
        <w:rPr>
          <w:rFonts w:ascii="Times New Roman" w:hAnsi="Times New Roman" w:cs="Times New Roman"/>
        </w:rPr>
        <w:t>s Plaza</w:t>
      </w:r>
    </w:p>
    <w:p w:rsidR="00867E2E" w:rsidRPr="009811ED" w:rsidRDefault="00867E2E" w:rsidP="00867E2E">
      <w:pPr>
        <w:ind w:firstLine="72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New York, New York 10007</w:t>
      </w:r>
    </w:p>
    <w:p w:rsidR="00867E2E" w:rsidRPr="009811ED" w:rsidRDefault="00867E2E" w:rsidP="00867E2E">
      <w:pPr>
        <w:ind w:firstLine="720"/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 xml:space="preserve">Tel. (212) </w:t>
      </w:r>
      <w:r w:rsidR="007B6AB5">
        <w:rPr>
          <w:rFonts w:ascii="Times New Roman" w:hAnsi="Times New Roman" w:cs="Times New Roman"/>
        </w:rPr>
        <w:t>637-2209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</w:p>
    <w:p w:rsidR="00867E2E" w:rsidRPr="009811ED" w:rsidRDefault="005D71D1" w:rsidP="00867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CRAIG GILMORE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</w:p>
    <w:p w:rsidR="00666C5F" w:rsidRPr="009811ED" w:rsidRDefault="00666C5F" w:rsidP="00867E2E">
      <w:pPr>
        <w:rPr>
          <w:rFonts w:ascii="Times New Roman" w:hAnsi="Times New Roman" w:cs="Times New Roman"/>
        </w:rPr>
      </w:pP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By:</w:t>
      </w:r>
      <w:r w:rsidRPr="009811ED">
        <w:rPr>
          <w:rFonts w:ascii="Times New Roman" w:hAnsi="Times New Roman" w:cs="Times New Roman"/>
        </w:rPr>
        <w:tab/>
        <w:t>_______________________________</w:t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  <w:t>_______________</w:t>
      </w:r>
    </w:p>
    <w:p w:rsidR="00867E2E" w:rsidRDefault="005D71D1" w:rsidP="005D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ROY CRAIG GILMORE</w:t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</w:r>
      <w:r w:rsidR="00867E2E" w:rsidRPr="009811ED">
        <w:rPr>
          <w:rFonts w:ascii="Times New Roman" w:hAnsi="Times New Roman" w:cs="Times New Roman"/>
        </w:rPr>
        <w:tab/>
        <w:t>Date</w:t>
      </w:r>
    </w:p>
    <w:p w:rsidR="0064727F" w:rsidRDefault="0064727F" w:rsidP="005D71D1">
      <w:pPr>
        <w:rPr>
          <w:rFonts w:ascii="Times New Roman" w:hAnsi="Times New Roman" w:cs="Times New Roman"/>
        </w:rPr>
      </w:pPr>
    </w:p>
    <w:p w:rsidR="0064727F" w:rsidRPr="009811ED" w:rsidRDefault="0064727F" w:rsidP="00647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CROCKER</w:t>
      </w:r>
    </w:p>
    <w:p w:rsidR="0064727F" w:rsidRPr="009811ED" w:rsidRDefault="0064727F" w:rsidP="0064727F">
      <w:pPr>
        <w:rPr>
          <w:rFonts w:ascii="Times New Roman" w:hAnsi="Times New Roman" w:cs="Times New Roman"/>
        </w:rPr>
      </w:pPr>
    </w:p>
    <w:p w:rsidR="0064727F" w:rsidRPr="009811ED" w:rsidRDefault="0064727F" w:rsidP="0064727F">
      <w:pPr>
        <w:rPr>
          <w:rFonts w:ascii="Times New Roman" w:hAnsi="Times New Roman" w:cs="Times New Roman"/>
        </w:rPr>
      </w:pPr>
    </w:p>
    <w:p w:rsidR="0064727F" w:rsidRPr="009811ED" w:rsidRDefault="0064727F" w:rsidP="0064727F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By:</w:t>
      </w:r>
      <w:r w:rsidRPr="009811ED">
        <w:rPr>
          <w:rFonts w:ascii="Times New Roman" w:hAnsi="Times New Roman" w:cs="Times New Roman"/>
        </w:rPr>
        <w:tab/>
        <w:t>_______________________________</w:t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  <w:t>_______________</w:t>
      </w:r>
    </w:p>
    <w:p w:rsidR="0064727F" w:rsidRDefault="0064727F" w:rsidP="00647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DAVID CROCKER</w:t>
      </w:r>
      <w:r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  <w:t>Date</w:t>
      </w:r>
    </w:p>
    <w:p w:rsidR="0064727F" w:rsidRPr="009811ED" w:rsidRDefault="0064727F" w:rsidP="005D71D1">
      <w:pPr>
        <w:rPr>
          <w:rFonts w:ascii="Times New Roman" w:hAnsi="Times New Roman" w:cs="Times New Roman"/>
        </w:rPr>
      </w:pPr>
    </w:p>
    <w:p w:rsidR="00867E2E" w:rsidRPr="009811ED" w:rsidRDefault="00867E2E" w:rsidP="00867E2E">
      <w:pPr>
        <w:ind w:firstLine="720"/>
        <w:rPr>
          <w:rFonts w:ascii="Times New Roman" w:hAnsi="Times New Roman" w:cs="Times New Roman"/>
        </w:rPr>
      </w:pPr>
    </w:p>
    <w:p w:rsidR="00867E2E" w:rsidRPr="009811ED" w:rsidRDefault="00867E2E" w:rsidP="00867E2E">
      <w:pPr>
        <w:rPr>
          <w:rFonts w:ascii="Times New Roman" w:hAnsi="Times New Roman" w:cs="Times New Roman"/>
        </w:rPr>
      </w:pP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So Ordered: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</w:p>
    <w:p w:rsidR="00867E2E" w:rsidRPr="009811ED" w:rsidRDefault="00867E2E" w:rsidP="00867E2E">
      <w:pPr>
        <w:rPr>
          <w:rFonts w:ascii="Times New Roman" w:hAnsi="Times New Roman" w:cs="Times New Roman"/>
        </w:rPr>
      </w:pP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_______________________________</w:t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  <w:t>_______________</w:t>
      </w:r>
    </w:p>
    <w:p w:rsidR="00867E2E" w:rsidRPr="009811ED" w:rsidRDefault="00867E2E" w:rsidP="00867E2E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United States District Judge</w:t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</w:r>
      <w:r w:rsidRPr="009811ED">
        <w:rPr>
          <w:rFonts w:ascii="Times New Roman" w:hAnsi="Times New Roman" w:cs="Times New Roman"/>
        </w:rPr>
        <w:tab/>
        <w:t xml:space="preserve">Date </w:t>
      </w:r>
    </w:p>
    <w:p w:rsidR="00741B4A" w:rsidRPr="00434810" w:rsidRDefault="00867E2E" w:rsidP="00434810">
      <w:pPr>
        <w:rPr>
          <w:rFonts w:ascii="Times New Roman" w:hAnsi="Times New Roman" w:cs="Times New Roman"/>
        </w:rPr>
      </w:pPr>
      <w:r w:rsidRPr="009811ED">
        <w:rPr>
          <w:rFonts w:ascii="Times New Roman" w:hAnsi="Times New Roman" w:cs="Times New Roman"/>
        </w:rPr>
        <w:t>Southern District of New York</w:t>
      </w:r>
    </w:p>
    <w:sectPr w:rsidR="00741B4A" w:rsidRPr="00434810" w:rsidSect="00A25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8B" w:rsidRDefault="00C0108B" w:rsidP="00572A68">
      <w:r>
        <w:separator/>
      </w:r>
    </w:p>
  </w:endnote>
  <w:endnote w:type="continuationSeparator" w:id="0">
    <w:p w:rsidR="00C0108B" w:rsidRDefault="00C0108B" w:rsidP="0057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A" w:rsidRDefault="00273C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32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3AC" w:rsidRDefault="00A253AC">
        <w:pPr>
          <w:pStyle w:val="Footer"/>
          <w:jc w:val="center"/>
        </w:pPr>
        <w:r w:rsidRPr="00A253AC">
          <w:rPr>
            <w:rFonts w:ascii="Times New Roman" w:hAnsi="Times New Roman" w:cs="Times New Roman"/>
          </w:rPr>
          <w:fldChar w:fldCharType="begin"/>
        </w:r>
        <w:r w:rsidRPr="00A253AC">
          <w:rPr>
            <w:rFonts w:ascii="Times New Roman" w:hAnsi="Times New Roman" w:cs="Times New Roman"/>
          </w:rPr>
          <w:instrText xml:space="preserve"> PAGE   \* MERGEFORMAT </w:instrText>
        </w:r>
        <w:r w:rsidRPr="00A253AC">
          <w:rPr>
            <w:rFonts w:ascii="Times New Roman" w:hAnsi="Times New Roman" w:cs="Times New Roman"/>
          </w:rPr>
          <w:fldChar w:fldCharType="separate"/>
        </w:r>
        <w:r w:rsidR="00523160">
          <w:rPr>
            <w:rFonts w:ascii="Times New Roman" w:hAnsi="Times New Roman" w:cs="Times New Roman"/>
            <w:noProof/>
          </w:rPr>
          <w:t>6</w:t>
        </w:r>
        <w:r w:rsidRPr="00A253A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2A68" w:rsidRDefault="00572A6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A" w:rsidRDefault="00273C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8B" w:rsidRDefault="00C0108B" w:rsidP="00572A68">
      <w:r>
        <w:separator/>
      </w:r>
    </w:p>
  </w:footnote>
  <w:footnote w:type="continuationSeparator" w:id="0">
    <w:p w:rsidR="00C0108B" w:rsidRDefault="00C0108B" w:rsidP="00572A68">
      <w:r>
        <w:continuationSeparator/>
      </w:r>
    </w:p>
  </w:footnote>
  <w:footnote w:id="1">
    <w:p w:rsidR="0064727F" w:rsidRDefault="0064727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73C5A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73C5A">
        <w:rPr>
          <w:rFonts w:ascii="Times New Roman" w:hAnsi="Times New Roman" w:cs="Times New Roman"/>
          <w:sz w:val="24"/>
          <w:szCs w:val="24"/>
        </w:rPr>
        <w:t xml:space="preserve"> This is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3C5A">
        <w:rPr>
          <w:rFonts w:ascii="Times New Roman" w:hAnsi="Times New Roman" w:cs="Times New Roman"/>
          <w:sz w:val="24"/>
          <w:szCs w:val="24"/>
        </w:rPr>
        <w:t xml:space="preserve"> translation of the official catalog title which is “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Wystawy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Obrazów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zbiorów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Dr. Jana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Poplawskiego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.”  </w:t>
      </w:r>
    </w:p>
    <w:p w:rsidR="0064727F" w:rsidRPr="00273C5A" w:rsidRDefault="0064727F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64727F" w:rsidRDefault="0064727F">
      <w:pPr>
        <w:pStyle w:val="FootnoteText"/>
      </w:pPr>
      <w:r w:rsidRPr="00273C5A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73C5A">
        <w:rPr>
          <w:rFonts w:ascii="Times New Roman" w:hAnsi="Times New Roman" w:cs="Times New Roman"/>
          <w:sz w:val="24"/>
          <w:szCs w:val="24"/>
        </w:rPr>
        <w:t xml:space="preserve"> This is the translation of the official catalog title which is “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Galerii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Malarstwa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5A">
        <w:rPr>
          <w:rFonts w:ascii="Times New Roman" w:hAnsi="Times New Roman" w:cs="Times New Roman"/>
          <w:sz w:val="24"/>
          <w:szCs w:val="24"/>
        </w:rPr>
        <w:t>Obcego</w:t>
      </w:r>
      <w:proofErr w:type="spellEnd"/>
      <w:r w:rsidRPr="00273C5A">
        <w:rPr>
          <w:rFonts w:ascii="Times New Roman" w:hAnsi="Times New Roman" w:cs="Times New Roman"/>
          <w:sz w:val="24"/>
          <w:szCs w:val="24"/>
        </w:rPr>
        <w:t xml:space="preserve"> MNW.”  The letters MNW in the name of the catalog references the Museum.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A" w:rsidRDefault="00273C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A" w:rsidRDefault="00273C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A" w:rsidRDefault="00273C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6C5"/>
    <w:multiLevelType w:val="hybridMultilevel"/>
    <w:tmpl w:val="3C282AB0"/>
    <w:lvl w:ilvl="0" w:tplc="4718EE7A">
      <w:start w:val="1"/>
      <w:numFmt w:val="decimal"/>
      <w:lvlText w:val="(%1)"/>
      <w:lvlJc w:val="left"/>
      <w:pPr>
        <w:ind w:left="180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0346513A"/>
    <w:multiLevelType w:val="hybridMultilevel"/>
    <w:tmpl w:val="BD447D3E"/>
    <w:lvl w:ilvl="0" w:tplc="4718EE7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824875"/>
    <w:multiLevelType w:val="hybridMultilevel"/>
    <w:tmpl w:val="F43EA614"/>
    <w:lvl w:ilvl="0" w:tplc="BEF8A97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383BD8"/>
    <w:multiLevelType w:val="hybridMultilevel"/>
    <w:tmpl w:val="DB6C44D2"/>
    <w:lvl w:ilvl="0" w:tplc="C56659F8">
      <w:start w:val="1"/>
      <w:numFmt w:val="lowerLetter"/>
      <w:lvlText w:val="(%1)."/>
      <w:lvlJc w:val="left"/>
      <w:pPr>
        <w:ind w:left="180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28184986"/>
    <w:multiLevelType w:val="hybridMultilevel"/>
    <w:tmpl w:val="7DC69DBA"/>
    <w:lvl w:ilvl="0" w:tplc="503A4104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01872E1"/>
    <w:multiLevelType w:val="hybridMultilevel"/>
    <w:tmpl w:val="F5FA3B48"/>
    <w:lvl w:ilvl="0" w:tplc="9864D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8"/>
    <w:rsid w:val="000108F4"/>
    <w:rsid w:val="00021296"/>
    <w:rsid w:val="0003689A"/>
    <w:rsid w:val="00124465"/>
    <w:rsid w:val="00125ECB"/>
    <w:rsid w:val="00127A2B"/>
    <w:rsid w:val="00145982"/>
    <w:rsid w:val="001A7E73"/>
    <w:rsid w:val="001E0563"/>
    <w:rsid w:val="001E7961"/>
    <w:rsid w:val="001E7FB0"/>
    <w:rsid w:val="001F1F92"/>
    <w:rsid w:val="001F527A"/>
    <w:rsid w:val="001F6E10"/>
    <w:rsid w:val="00202A29"/>
    <w:rsid w:val="002337E4"/>
    <w:rsid w:val="00266D2D"/>
    <w:rsid w:val="00273C5A"/>
    <w:rsid w:val="00285D02"/>
    <w:rsid w:val="002A7948"/>
    <w:rsid w:val="002D09C8"/>
    <w:rsid w:val="00300BE7"/>
    <w:rsid w:val="003110C9"/>
    <w:rsid w:val="00341F05"/>
    <w:rsid w:val="00350971"/>
    <w:rsid w:val="003D776F"/>
    <w:rsid w:val="00411E37"/>
    <w:rsid w:val="00434810"/>
    <w:rsid w:val="00436A2E"/>
    <w:rsid w:val="00451B12"/>
    <w:rsid w:val="00453060"/>
    <w:rsid w:val="0045719C"/>
    <w:rsid w:val="0048645D"/>
    <w:rsid w:val="004A5412"/>
    <w:rsid w:val="004C4A71"/>
    <w:rsid w:val="004C4CE2"/>
    <w:rsid w:val="004D7BA4"/>
    <w:rsid w:val="004F5FE2"/>
    <w:rsid w:val="00516A9E"/>
    <w:rsid w:val="00523160"/>
    <w:rsid w:val="005357B7"/>
    <w:rsid w:val="005418AA"/>
    <w:rsid w:val="005649D4"/>
    <w:rsid w:val="0057072A"/>
    <w:rsid w:val="00572A68"/>
    <w:rsid w:val="00584B51"/>
    <w:rsid w:val="005B134E"/>
    <w:rsid w:val="005C0DA6"/>
    <w:rsid w:val="005D6F9F"/>
    <w:rsid w:val="005D71D1"/>
    <w:rsid w:val="005E3FF7"/>
    <w:rsid w:val="005E443D"/>
    <w:rsid w:val="0064727F"/>
    <w:rsid w:val="00651281"/>
    <w:rsid w:val="00666C5F"/>
    <w:rsid w:val="00697DA6"/>
    <w:rsid w:val="006A1A1F"/>
    <w:rsid w:val="006A6419"/>
    <w:rsid w:val="006F0B64"/>
    <w:rsid w:val="007035D9"/>
    <w:rsid w:val="00741B4A"/>
    <w:rsid w:val="00771604"/>
    <w:rsid w:val="00772DAF"/>
    <w:rsid w:val="00775B49"/>
    <w:rsid w:val="007855DE"/>
    <w:rsid w:val="007B6AB5"/>
    <w:rsid w:val="00807B8E"/>
    <w:rsid w:val="008211C9"/>
    <w:rsid w:val="00822007"/>
    <w:rsid w:val="00847112"/>
    <w:rsid w:val="00851C7D"/>
    <w:rsid w:val="00867E2E"/>
    <w:rsid w:val="008901A4"/>
    <w:rsid w:val="008D68B4"/>
    <w:rsid w:val="008D6942"/>
    <w:rsid w:val="008E2162"/>
    <w:rsid w:val="009076E4"/>
    <w:rsid w:val="009115C6"/>
    <w:rsid w:val="009811ED"/>
    <w:rsid w:val="00986A5A"/>
    <w:rsid w:val="00996A8A"/>
    <w:rsid w:val="009A16B1"/>
    <w:rsid w:val="009E0DE9"/>
    <w:rsid w:val="009F6D2E"/>
    <w:rsid w:val="00A14569"/>
    <w:rsid w:val="00A234DC"/>
    <w:rsid w:val="00A253AC"/>
    <w:rsid w:val="00A269C0"/>
    <w:rsid w:val="00A27B3A"/>
    <w:rsid w:val="00A430DD"/>
    <w:rsid w:val="00AA0468"/>
    <w:rsid w:val="00AB6B31"/>
    <w:rsid w:val="00AC4739"/>
    <w:rsid w:val="00B026BF"/>
    <w:rsid w:val="00B426A6"/>
    <w:rsid w:val="00B52135"/>
    <w:rsid w:val="00B66E15"/>
    <w:rsid w:val="00B72E13"/>
    <w:rsid w:val="00B91626"/>
    <w:rsid w:val="00B917CB"/>
    <w:rsid w:val="00BA48A1"/>
    <w:rsid w:val="00BA623B"/>
    <w:rsid w:val="00BB0458"/>
    <w:rsid w:val="00BC112A"/>
    <w:rsid w:val="00C0108B"/>
    <w:rsid w:val="00C01310"/>
    <w:rsid w:val="00C167DD"/>
    <w:rsid w:val="00C34D3B"/>
    <w:rsid w:val="00C60479"/>
    <w:rsid w:val="00C67F3F"/>
    <w:rsid w:val="00C777CC"/>
    <w:rsid w:val="00C84F24"/>
    <w:rsid w:val="00C92A02"/>
    <w:rsid w:val="00D56DD4"/>
    <w:rsid w:val="00E04867"/>
    <w:rsid w:val="00E41E68"/>
    <w:rsid w:val="00E44F6A"/>
    <w:rsid w:val="00E7067D"/>
    <w:rsid w:val="00E87A12"/>
    <w:rsid w:val="00EC249A"/>
    <w:rsid w:val="00ED77D1"/>
    <w:rsid w:val="00F110BF"/>
    <w:rsid w:val="00F3491C"/>
    <w:rsid w:val="00F530AE"/>
    <w:rsid w:val="00FC3696"/>
    <w:rsid w:val="00FC579F"/>
    <w:rsid w:val="00FD4CAA"/>
    <w:rsid w:val="00FE0B4E"/>
    <w:rsid w:val="00FE3DB5"/>
    <w:rsid w:val="00FF0F9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Ebrima" w:hAnsi="Ebr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41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AF"/>
    <w:rPr>
      <w:rFonts w:ascii="Ebrima" w:hAnsi="Ebri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AF"/>
    <w:rPr>
      <w:rFonts w:ascii="Ebrima" w:hAnsi="Ebri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72A"/>
    <w:rPr>
      <w:rFonts w:ascii="Ebrima" w:hAnsi="Ebrima"/>
      <w:sz w:val="20"/>
      <w:szCs w:val="20"/>
    </w:rPr>
  </w:style>
  <w:style w:type="paragraph" w:customStyle="1" w:styleId="Default">
    <w:name w:val="Default"/>
    <w:rsid w:val="00A2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E7"/>
    <w:rPr>
      <w:rFonts w:ascii="Ebrima" w:hAnsi="Ebr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E7"/>
    <w:rPr>
      <w:rFonts w:ascii="Ebrima" w:hAnsi="Ebri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Ebrima" w:hAnsi="Ebr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41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AF"/>
    <w:rPr>
      <w:rFonts w:ascii="Ebrima" w:hAnsi="Ebri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AF"/>
    <w:rPr>
      <w:rFonts w:ascii="Ebrima" w:hAnsi="Ebri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72A"/>
    <w:rPr>
      <w:rFonts w:ascii="Ebrima" w:hAnsi="Ebrima"/>
      <w:sz w:val="20"/>
      <w:szCs w:val="20"/>
    </w:rPr>
  </w:style>
  <w:style w:type="paragraph" w:customStyle="1" w:styleId="Default">
    <w:name w:val="Default"/>
    <w:rsid w:val="00A2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E7"/>
    <w:rPr>
      <w:rFonts w:ascii="Ebrima" w:hAnsi="Ebr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E7"/>
    <w:rPr>
      <w:rFonts w:ascii="Ebrima" w:hAnsi="Ebri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4570-8A9D-1140-B010-F522D102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7239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ESwienc</dc:creator>
  <cp:lastModifiedBy>Charles Cronin</cp:lastModifiedBy>
  <cp:revision>2</cp:revision>
  <cp:lastPrinted>2016-12-05T20:23:00Z</cp:lastPrinted>
  <dcterms:created xsi:type="dcterms:W3CDTF">2017-02-07T01:40:00Z</dcterms:created>
  <dcterms:modified xsi:type="dcterms:W3CDTF">2017-02-07T01:40:00Z</dcterms:modified>
</cp:coreProperties>
</file>